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3603" w:rsidRPr="00AF2C7C" w:rsidRDefault="00643603" w:rsidP="00AF2C7C">
      <w:pPr>
        <w:pStyle w:val="a9"/>
        <w:jc w:val="both"/>
        <w:rPr>
          <w:rFonts w:ascii="Times New Roman" w:hAnsi="Times New Roman"/>
          <w:sz w:val="28"/>
          <w:szCs w:val="28"/>
          <w:shd w:val="clear" w:color="auto" w:fill="FFFFFF"/>
        </w:rPr>
      </w:pPr>
    </w:p>
    <w:p w:rsidR="00DE294D" w:rsidRPr="00AF2C7C" w:rsidRDefault="00DE294D" w:rsidP="00005466">
      <w:pPr>
        <w:pStyle w:val="a9"/>
        <w:jc w:val="center"/>
        <w:rPr>
          <w:rFonts w:ascii="Times New Roman" w:hAnsi="Times New Roman"/>
          <w:sz w:val="28"/>
          <w:szCs w:val="28"/>
        </w:rPr>
      </w:pPr>
      <w:r w:rsidRPr="00AF2C7C">
        <w:rPr>
          <w:rFonts w:ascii="Times New Roman" w:hAnsi="Times New Roman"/>
          <w:sz w:val="28"/>
          <w:szCs w:val="28"/>
        </w:rPr>
        <w:t>ДОГОВІР</w:t>
      </w:r>
      <w:r w:rsidRPr="00AF2C7C">
        <w:rPr>
          <w:rFonts w:ascii="Times New Roman" w:hAnsi="Times New Roman"/>
          <w:sz w:val="28"/>
          <w:szCs w:val="28"/>
        </w:rPr>
        <w:br/>
        <w:t>з власником (користувачем) будівлі (приміщення у будівлі)</w:t>
      </w:r>
      <w:r w:rsidRPr="00AF2C7C">
        <w:rPr>
          <w:rFonts w:ascii="Times New Roman" w:hAnsi="Times New Roman"/>
          <w:sz w:val="28"/>
          <w:szCs w:val="28"/>
        </w:rPr>
        <w:br/>
        <w:t>про надання послуг з централізованого водопостачання та централізованого водовідведення</w:t>
      </w:r>
    </w:p>
    <w:p w:rsidR="00005466" w:rsidRDefault="00AA1836" w:rsidP="00AF2C7C">
      <w:pPr>
        <w:pStyle w:val="a9"/>
        <w:jc w:val="both"/>
        <w:rPr>
          <w:rFonts w:ascii="Times New Roman" w:hAnsi="Times New Roman"/>
          <w:sz w:val="28"/>
          <w:szCs w:val="28"/>
        </w:rPr>
      </w:pPr>
      <w:r w:rsidRPr="00AF2C7C">
        <w:rPr>
          <w:rFonts w:ascii="Times New Roman" w:hAnsi="Times New Roman"/>
          <w:sz w:val="28"/>
          <w:szCs w:val="28"/>
        </w:rPr>
        <w:t>м. Могилів – Подільський                                                  ___ ________________ 2024 р.</w:t>
      </w:r>
      <w:r w:rsidR="00DE294D" w:rsidRPr="00AF2C7C">
        <w:rPr>
          <w:rFonts w:ascii="Times New Roman" w:hAnsi="Times New Roman"/>
          <w:sz w:val="28"/>
          <w:szCs w:val="28"/>
        </w:rPr>
        <w:t xml:space="preserve"> </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 xml:space="preserve">        </w:t>
      </w:r>
    </w:p>
    <w:p w:rsidR="00AA1836" w:rsidRPr="00AF2C7C" w:rsidRDefault="00AA1836" w:rsidP="00AF2C7C">
      <w:pPr>
        <w:pStyle w:val="a9"/>
        <w:jc w:val="both"/>
        <w:rPr>
          <w:rFonts w:ascii="Times New Roman" w:hAnsi="Times New Roman"/>
          <w:sz w:val="28"/>
          <w:szCs w:val="28"/>
        </w:rPr>
      </w:pPr>
      <w:r w:rsidRPr="00005466">
        <w:rPr>
          <w:rFonts w:ascii="Times New Roman" w:hAnsi="Times New Roman"/>
          <w:b/>
          <w:sz w:val="28"/>
          <w:szCs w:val="28"/>
        </w:rPr>
        <w:t>Могилів – Подільське міське комунальне підприємство «ВОДОКАНАЛ»</w:t>
      </w:r>
      <w:r w:rsidRPr="00AF2C7C">
        <w:rPr>
          <w:rFonts w:ascii="Times New Roman" w:hAnsi="Times New Roman"/>
          <w:sz w:val="28"/>
          <w:szCs w:val="28"/>
        </w:rPr>
        <w:t xml:space="preserve"> (далі – Виконавець) в особі   директора Рибака Сергія Тимофійовича, що діє на підставі статуту, з однієї сторони, та _________________________________ (найменування юридичної особи або прізвище, ім’я, по батькові  (за наявності) фізичної особи) (надалі-споживач) з іншої сторони (далі - сторони), уклали цей договір про таке. </w:t>
      </w:r>
    </w:p>
    <w:p w:rsidR="00DE294D" w:rsidRPr="00005466" w:rsidRDefault="00DE294D" w:rsidP="00005466">
      <w:pPr>
        <w:pStyle w:val="a9"/>
        <w:jc w:val="center"/>
        <w:rPr>
          <w:rFonts w:ascii="Times New Roman" w:hAnsi="Times New Roman"/>
          <w:b/>
          <w:sz w:val="28"/>
          <w:szCs w:val="28"/>
        </w:rPr>
      </w:pPr>
      <w:r w:rsidRPr="00005466">
        <w:rPr>
          <w:rFonts w:ascii="Times New Roman" w:hAnsi="Times New Roman"/>
          <w:b/>
          <w:sz w:val="28"/>
          <w:szCs w:val="28"/>
        </w:rPr>
        <w:t>Предмет договору та перелік послуг</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1. Виконавець зобов’язується надавати споживачу послуги з централізованого водопостачання та централізованого водовідведення (далі - послуги) відповідної якості, а споживач зобов’язується своєчасно та в повному обсязі оплачувати надані послуги за тарифами, встановленими відповідно до законодавства, в строки і на умовах, визначених цим договором.</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До якості послуг встановлено такі вимоги:</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shd w:val="clear" w:color="auto" w:fill="FFFFFF"/>
        </w:rPr>
        <w:t xml:space="preserve">склад і якість питної води повинні відповідати вимогам державних санітарних норм і правил </w:t>
      </w:r>
      <w:r w:rsidRPr="00AF2C7C">
        <w:rPr>
          <w:rFonts w:ascii="Times New Roman" w:hAnsi="Times New Roman"/>
          <w:sz w:val="28"/>
          <w:szCs w:val="28"/>
          <w:lang w:eastAsia="uk-UA"/>
        </w:rPr>
        <w:t>на питну воду</w:t>
      </w:r>
      <w:r w:rsidRPr="00AF2C7C">
        <w:rPr>
          <w:rFonts w:ascii="Times New Roman" w:hAnsi="Times New Roman"/>
          <w:sz w:val="28"/>
          <w:szCs w:val="28"/>
        </w:rPr>
        <w:t>;</w:t>
      </w:r>
    </w:p>
    <w:p w:rsidR="00AA1836" w:rsidRPr="00AF2C7C" w:rsidRDefault="00DE294D" w:rsidP="00AF2C7C">
      <w:pPr>
        <w:pStyle w:val="a9"/>
        <w:jc w:val="both"/>
        <w:rPr>
          <w:rFonts w:ascii="Times New Roman" w:hAnsi="Times New Roman"/>
          <w:sz w:val="28"/>
          <w:szCs w:val="28"/>
          <w:shd w:val="clear" w:color="auto" w:fill="FFFFFF"/>
        </w:rPr>
      </w:pPr>
      <w:r w:rsidRPr="00AF2C7C">
        <w:rPr>
          <w:rFonts w:ascii="Times New Roman" w:hAnsi="Times New Roman"/>
          <w:sz w:val="28"/>
          <w:szCs w:val="28"/>
          <w:shd w:val="clear" w:color="auto" w:fill="FFFFFF"/>
        </w:rPr>
        <w:t xml:space="preserve">значення тиску питної води повинно відповідати </w:t>
      </w:r>
      <w:r w:rsidR="00AA1836" w:rsidRPr="00AF2C7C">
        <w:rPr>
          <w:rFonts w:ascii="Times New Roman" w:hAnsi="Times New Roman"/>
          <w:sz w:val="28"/>
          <w:szCs w:val="28"/>
          <w:shd w:val="clear" w:color="auto" w:fill="FFFFFF"/>
        </w:rPr>
        <w:t>параметрам, встановленим поточними індивідуальними технологічними нормативами використання питної води для Могилів – Подільського міського комунального підприємства «ВОДОКАНАЛ», затверджених рішенням виконавчого комітету Могилів – Подільської міської ради № 148 від 02.07.2020 р.</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shd w:val="clear" w:color="auto" w:fill="FFFFFF"/>
        </w:rPr>
        <w:t>Критерієм якості послуг з централізованого водовідведення є безперешкодне приймання стічних вод у мережі виконавця з мереж споживача за умови справності мереж споживача.</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2. Інформація про споживача:</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1) адреса:</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вулиця _____________________________________________________,</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номер будинку _________, номер приміщення  ___________________,</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населений пункт _____________________________________________,</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район ______________________________________________________,</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область _____________________________________________________,</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індекс ______________________________________________________;</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2) контактний номер телефону споживача _______________________;</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3) кількість осіб, які фактично користуються послугами ___________.</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3. Будівля (приміщення у будівлі) обладнано вузлом (вузлами) комерційного обліку централізованого водопостачання:</w:t>
      </w:r>
    </w:p>
    <w:tbl>
      <w:tblPr>
        <w:tblW w:w="9847" w:type="dxa"/>
        <w:tblInd w:w="25" w:type="dxa"/>
        <w:tblBorders>
          <w:top w:val="single" w:sz="2" w:space="0" w:color="auto"/>
          <w:bottom w:val="single" w:sz="2" w:space="0" w:color="auto"/>
          <w:insideH w:val="single" w:sz="8" w:space="0" w:color="auto"/>
          <w:insideV w:val="single" w:sz="2" w:space="0" w:color="auto"/>
        </w:tblBorders>
        <w:tblLook w:val="0000" w:firstRow="0" w:lastRow="0" w:firstColumn="0" w:lastColumn="0" w:noHBand="0" w:noVBand="0"/>
      </w:tblPr>
      <w:tblGrid>
        <w:gridCol w:w="1346"/>
        <w:gridCol w:w="1625"/>
        <w:gridCol w:w="1625"/>
        <w:gridCol w:w="1484"/>
        <w:gridCol w:w="1321"/>
        <w:gridCol w:w="1725"/>
        <w:gridCol w:w="1053"/>
      </w:tblGrid>
      <w:tr w:rsidR="00DE294D" w:rsidRPr="00AF2C7C" w:rsidTr="00DC6AF0">
        <w:tc>
          <w:tcPr>
            <w:tcW w:w="1344" w:type="dxa"/>
            <w:tcBorders>
              <w:top w:val="single" w:sz="2" w:space="0" w:color="auto"/>
              <w:bottom w:val="single" w:sz="2" w:space="0" w:color="auto"/>
            </w:tcBorders>
            <w:tcMar>
              <w:top w:w="0" w:type="dxa"/>
              <w:left w:w="28" w:type="dxa"/>
              <w:bottom w:w="0" w:type="dxa"/>
              <w:right w:w="28" w:type="dxa"/>
            </w:tcMar>
            <w:vAlign w:val="center"/>
          </w:tcPr>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Порядковий номер</w:t>
            </w:r>
          </w:p>
        </w:tc>
        <w:tc>
          <w:tcPr>
            <w:tcW w:w="1759" w:type="dxa"/>
            <w:tcBorders>
              <w:top w:val="single" w:sz="2" w:space="0" w:color="auto"/>
              <w:bottom w:val="single" w:sz="2" w:space="0" w:color="auto"/>
            </w:tcBorders>
            <w:tcMar>
              <w:top w:w="0" w:type="dxa"/>
              <w:left w:w="28" w:type="dxa"/>
              <w:bottom w:w="0" w:type="dxa"/>
              <w:right w:w="28" w:type="dxa"/>
            </w:tcMar>
            <w:vAlign w:val="center"/>
          </w:tcPr>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 xml:space="preserve">Заводський номер, найменування </w:t>
            </w:r>
            <w:r w:rsidRPr="00AF2C7C">
              <w:rPr>
                <w:rFonts w:ascii="Times New Roman" w:hAnsi="Times New Roman"/>
                <w:sz w:val="28"/>
                <w:szCs w:val="28"/>
              </w:rPr>
              <w:br/>
              <w:t xml:space="preserve">та умовне позначення </w:t>
            </w:r>
            <w:r w:rsidRPr="00AF2C7C">
              <w:rPr>
                <w:rFonts w:ascii="Times New Roman" w:hAnsi="Times New Roman"/>
                <w:sz w:val="28"/>
                <w:szCs w:val="28"/>
              </w:rPr>
              <w:br/>
              <w:t xml:space="preserve">типу засобу </w:t>
            </w:r>
            <w:r w:rsidRPr="00AF2C7C">
              <w:rPr>
                <w:rFonts w:ascii="Times New Roman" w:hAnsi="Times New Roman"/>
                <w:sz w:val="28"/>
                <w:szCs w:val="28"/>
              </w:rPr>
              <w:lastRenderedPageBreak/>
              <w:t>вимірювальної техніки</w:t>
            </w:r>
          </w:p>
        </w:tc>
        <w:tc>
          <w:tcPr>
            <w:tcW w:w="1417" w:type="dxa"/>
            <w:tcBorders>
              <w:top w:val="single" w:sz="2" w:space="0" w:color="auto"/>
              <w:bottom w:val="single" w:sz="2" w:space="0" w:color="auto"/>
            </w:tcBorders>
            <w:tcMar>
              <w:top w:w="0" w:type="dxa"/>
              <w:left w:w="28" w:type="dxa"/>
              <w:bottom w:w="0" w:type="dxa"/>
              <w:right w:w="28" w:type="dxa"/>
            </w:tcMar>
            <w:vAlign w:val="center"/>
          </w:tcPr>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lastRenderedPageBreak/>
              <w:t>Показання засобу вимірювальної техніки на дату укладення договору</w:t>
            </w:r>
          </w:p>
        </w:tc>
        <w:tc>
          <w:tcPr>
            <w:tcW w:w="1397" w:type="dxa"/>
            <w:tcBorders>
              <w:top w:val="single" w:sz="2" w:space="0" w:color="auto"/>
              <w:bottom w:val="single" w:sz="2" w:space="0" w:color="auto"/>
            </w:tcBorders>
            <w:tcMar>
              <w:top w:w="0" w:type="dxa"/>
              <w:left w:w="28" w:type="dxa"/>
              <w:bottom w:w="0" w:type="dxa"/>
              <w:right w:w="28" w:type="dxa"/>
            </w:tcMar>
            <w:vAlign w:val="center"/>
          </w:tcPr>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Місце встановлення</w:t>
            </w:r>
          </w:p>
        </w:tc>
        <w:tc>
          <w:tcPr>
            <w:tcW w:w="1146" w:type="dxa"/>
            <w:tcBorders>
              <w:top w:val="single" w:sz="2" w:space="0" w:color="auto"/>
              <w:bottom w:val="single" w:sz="2" w:space="0" w:color="auto"/>
            </w:tcBorders>
            <w:tcMar>
              <w:top w:w="0" w:type="dxa"/>
              <w:left w:w="28" w:type="dxa"/>
              <w:bottom w:w="0" w:type="dxa"/>
              <w:right w:w="28" w:type="dxa"/>
            </w:tcMar>
            <w:vAlign w:val="center"/>
          </w:tcPr>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Дата останньої періодичної повірки</w:t>
            </w:r>
          </w:p>
        </w:tc>
        <w:tc>
          <w:tcPr>
            <w:tcW w:w="1701" w:type="dxa"/>
            <w:tcBorders>
              <w:top w:val="single" w:sz="2" w:space="0" w:color="auto"/>
              <w:bottom w:val="single" w:sz="2" w:space="0" w:color="auto"/>
            </w:tcBorders>
            <w:tcMar>
              <w:top w:w="0" w:type="dxa"/>
              <w:left w:w="28" w:type="dxa"/>
              <w:bottom w:w="0" w:type="dxa"/>
              <w:right w:w="28" w:type="dxa"/>
            </w:tcMar>
            <w:vAlign w:val="center"/>
          </w:tcPr>
          <w:p w:rsidR="00DE294D" w:rsidRPr="00AF2C7C" w:rsidRDefault="00DE294D" w:rsidP="00AF2C7C">
            <w:pPr>
              <w:pStyle w:val="a9"/>
              <w:jc w:val="both"/>
              <w:rPr>
                <w:rFonts w:ascii="Times New Roman" w:hAnsi="Times New Roman"/>
                <w:sz w:val="28"/>
                <w:szCs w:val="28"/>
              </w:rPr>
            </w:pPr>
            <w:proofErr w:type="spellStart"/>
            <w:r w:rsidRPr="00AF2C7C">
              <w:rPr>
                <w:rFonts w:ascii="Times New Roman" w:hAnsi="Times New Roman"/>
                <w:sz w:val="28"/>
                <w:szCs w:val="28"/>
              </w:rPr>
              <w:t>Міжповірочний</w:t>
            </w:r>
            <w:proofErr w:type="spellEnd"/>
            <w:r w:rsidRPr="00AF2C7C">
              <w:rPr>
                <w:rFonts w:ascii="Times New Roman" w:hAnsi="Times New Roman"/>
                <w:sz w:val="28"/>
                <w:szCs w:val="28"/>
              </w:rPr>
              <w:t xml:space="preserve"> інтервал, років</w:t>
            </w:r>
          </w:p>
        </w:tc>
        <w:tc>
          <w:tcPr>
            <w:tcW w:w="1083" w:type="dxa"/>
            <w:tcBorders>
              <w:top w:val="single" w:sz="2" w:space="0" w:color="auto"/>
              <w:bottom w:val="single" w:sz="2" w:space="0" w:color="auto"/>
            </w:tcBorders>
            <w:tcMar>
              <w:top w:w="0" w:type="dxa"/>
              <w:left w:w="28" w:type="dxa"/>
              <w:bottom w:w="0" w:type="dxa"/>
              <w:right w:w="28" w:type="dxa"/>
            </w:tcMar>
            <w:vAlign w:val="center"/>
          </w:tcPr>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Примітка</w:t>
            </w:r>
          </w:p>
        </w:tc>
      </w:tr>
    </w:tbl>
    <w:p w:rsidR="00DE294D" w:rsidRPr="00AF2C7C" w:rsidRDefault="00DE294D" w:rsidP="00AF2C7C">
      <w:pPr>
        <w:pStyle w:val="a9"/>
        <w:jc w:val="both"/>
        <w:rPr>
          <w:rFonts w:ascii="Times New Roman" w:hAnsi="Times New Roman"/>
          <w:sz w:val="28"/>
          <w:szCs w:val="28"/>
        </w:rPr>
      </w:pPr>
    </w:p>
    <w:p w:rsidR="00DE294D" w:rsidRPr="00005466" w:rsidRDefault="00DE294D" w:rsidP="00005466">
      <w:pPr>
        <w:pStyle w:val="a9"/>
        <w:jc w:val="center"/>
        <w:rPr>
          <w:rFonts w:ascii="Times New Roman" w:hAnsi="Times New Roman"/>
          <w:b/>
          <w:sz w:val="28"/>
          <w:szCs w:val="28"/>
        </w:rPr>
      </w:pPr>
      <w:r w:rsidRPr="00005466">
        <w:rPr>
          <w:rFonts w:ascii="Times New Roman" w:hAnsi="Times New Roman"/>
          <w:b/>
          <w:sz w:val="28"/>
          <w:szCs w:val="28"/>
        </w:rPr>
        <w:t>Порядок надання та вимоги до якості послуг</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4. Виконавець забезпечує постачання послуг безперервно з гарантованим рівнем безпеки та значенням тиску.</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 xml:space="preserve">5. Послуги надаються споживачеві безперервно, крім перерв, визначених частиною першою статті 16 Закону України “Про житлово-комунальні послуги”. </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Послуга з централізованого водовідведення надається у мережі виконавця з мереж споживача за умови справності мереж споживача.</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 xml:space="preserve">6. Виконавець забезпечує відповідність кількісних та якісних характеристик послуг вимогам пункту 1 цього договору на межі </w:t>
      </w:r>
      <w:proofErr w:type="spellStart"/>
      <w:r w:rsidRPr="00AF2C7C">
        <w:rPr>
          <w:rFonts w:ascii="Times New Roman" w:hAnsi="Times New Roman"/>
          <w:sz w:val="28"/>
          <w:szCs w:val="28"/>
        </w:rPr>
        <w:t>внутрішньобудинкових</w:t>
      </w:r>
      <w:proofErr w:type="spellEnd"/>
      <w:r w:rsidRPr="00AF2C7C">
        <w:rPr>
          <w:rFonts w:ascii="Times New Roman" w:hAnsi="Times New Roman"/>
          <w:sz w:val="28"/>
          <w:szCs w:val="28"/>
        </w:rPr>
        <w:t xml:space="preserve"> систем будівлі (інженерно-технічних систем приміщення споживача) та зовнішніх інженерних мереж постачання послуг.</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7. Контроль кількісних та якісних характеристик послуг здійснюється за показаннями вузла (вузлів) комерційного обліку централізованого водопостачання.</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8. У разі виникнення аварії на зовнішніх інженерних мережах постачання послуг виконавець проводить аварійно-відновні роботи у строк не більше семи діб з моменту виявлення ним факту аварії або повідомлення споживачем виконавцю про аварію.</w:t>
      </w:r>
    </w:p>
    <w:p w:rsidR="00C83CF0" w:rsidRPr="00AF2C7C" w:rsidRDefault="00C83CF0" w:rsidP="00AF2C7C">
      <w:pPr>
        <w:pStyle w:val="a9"/>
        <w:jc w:val="both"/>
        <w:rPr>
          <w:rFonts w:ascii="Times New Roman" w:hAnsi="Times New Roman"/>
          <w:sz w:val="28"/>
          <w:szCs w:val="28"/>
        </w:rPr>
      </w:pPr>
    </w:p>
    <w:p w:rsidR="00DE294D" w:rsidRPr="00005466" w:rsidRDefault="00DE294D" w:rsidP="00005466">
      <w:pPr>
        <w:pStyle w:val="a9"/>
        <w:jc w:val="center"/>
        <w:rPr>
          <w:rFonts w:ascii="Times New Roman" w:hAnsi="Times New Roman"/>
          <w:b/>
          <w:sz w:val="28"/>
          <w:szCs w:val="28"/>
        </w:rPr>
      </w:pPr>
      <w:r w:rsidRPr="00005466">
        <w:rPr>
          <w:rFonts w:ascii="Times New Roman" w:hAnsi="Times New Roman"/>
          <w:b/>
          <w:sz w:val="28"/>
          <w:szCs w:val="28"/>
        </w:rPr>
        <w:t>Облік послуги</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9. Обсяг спожитих у будівлі (приміщенні у будівлі) послуг визначається за показаннями засобів вимірювальної техніки вузла (вузлів) комерційного обліку.</w:t>
      </w:r>
    </w:p>
    <w:p w:rsidR="00DE294D" w:rsidRPr="00AF2C7C" w:rsidRDefault="00DE294D" w:rsidP="00AF2C7C">
      <w:pPr>
        <w:pStyle w:val="a9"/>
        <w:jc w:val="both"/>
        <w:rPr>
          <w:rFonts w:ascii="Times New Roman" w:hAnsi="Times New Roman"/>
          <w:sz w:val="28"/>
          <w:szCs w:val="28"/>
          <w:shd w:val="clear" w:color="auto" w:fill="FFFFFF"/>
        </w:rPr>
      </w:pPr>
      <w:r w:rsidRPr="00AF2C7C">
        <w:rPr>
          <w:rFonts w:ascii="Times New Roman" w:hAnsi="Times New Roman"/>
          <w:sz w:val="28"/>
          <w:szCs w:val="28"/>
          <w:shd w:val="clear" w:color="auto" w:fill="FFFFFF"/>
        </w:rPr>
        <w:t>Обсяг наданих споживачеві послуг з централізованого водовідведення визначається на рівні обсягів спожитих ним послуг з централізованого водопостачання та постачання гарячої води.</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 xml:space="preserve">Для споживача власника (користувача) будівлі, індивідуального (садибного) житлового будинку визначення додаткового обсягу стічних вод, що утворюються внаслідок випадання атмосферних опадів (дощу і танення снігу та льоду) і сніготанення та неорганізовано потрапляють до систем централізованого водовідведення виконавця, здійснюється відповідно до Порядку визначення розміру плати, що справляється за понаднормативні скиди стічних вод до систем централізованого водовідведення, затвердженого наказом </w:t>
      </w:r>
      <w:proofErr w:type="spellStart"/>
      <w:r w:rsidRPr="00AF2C7C">
        <w:rPr>
          <w:rFonts w:ascii="Times New Roman" w:hAnsi="Times New Roman"/>
          <w:sz w:val="28"/>
          <w:szCs w:val="28"/>
        </w:rPr>
        <w:t>Мінрегіону</w:t>
      </w:r>
      <w:proofErr w:type="spellEnd"/>
      <w:r w:rsidRPr="00AF2C7C">
        <w:rPr>
          <w:rFonts w:ascii="Times New Roman" w:hAnsi="Times New Roman"/>
          <w:sz w:val="28"/>
          <w:szCs w:val="28"/>
        </w:rPr>
        <w:t xml:space="preserve"> від 1 грудня 2017 р. № 316.</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lang w:eastAsia="uk-UA"/>
        </w:rPr>
        <w:t>Якщо будівлю (приміщення у будівлі) оснащено двома та більше вузлами комерційного обліку централізованого водопостачання відповідно</w:t>
      </w:r>
      <w:r w:rsidRPr="00AF2C7C">
        <w:rPr>
          <w:rFonts w:ascii="Times New Roman" w:hAnsi="Times New Roman"/>
          <w:sz w:val="28"/>
          <w:szCs w:val="28"/>
        </w:rPr>
        <w:t xml:space="preserve"> до вимог Закону України “Про комерційний облік теплової енергії та водопостачання”, обсяг спожитих послуг визначається як сума показань таких вузлів обліку. </w:t>
      </w:r>
    </w:p>
    <w:p w:rsidR="00DE294D" w:rsidRPr="00AF2C7C" w:rsidRDefault="00DE294D" w:rsidP="00AF2C7C">
      <w:pPr>
        <w:pStyle w:val="a9"/>
        <w:jc w:val="both"/>
        <w:rPr>
          <w:rFonts w:ascii="Times New Roman" w:hAnsi="Times New Roman"/>
          <w:sz w:val="28"/>
          <w:szCs w:val="28"/>
          <w:shd w:val="clear" w:color="auto" w:fill="FFFFFF"/>
        </w:rPr>
      </w:pPr>
      <w:r w:rsidRPr="00AF2C7C">
        <w:rPr>
          <w:rFonts w:ascii="Times New Roman" w:hAnsi="Times New Roman"/>
          <w:sz w:val="28"/>
          <w:szCs w:val="28"/>
          <w:shd w:val="clear" w:color="auto" w:fill="FFFFFF"/>
        </w:rPr>
        <w:t>10. Одиницею вимірювання обсягу спожитих споживачем послуг є куб. метр.</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11. У разі коли будівля (приміщення у будівлі) не оснащена вузлом (вузлами) комерційного обліку послуг, до встановлення такого вузла (вузлів) договір не укладається.</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 xml:space="preserve">12. У разі виходу з ладу або втрати вузла комерційного обліку послуги до відновлення його роботи або заміни комерційний облік спожитої послуги здійснюється розрахунково відповідно до Методики розподілу між споживачами обсягів спожитих у будівлі комунальних послуг, затвердженої наказом </w:t>
      </w:r>
      <w:proofErr w:type="spellStart"/>
      <w:r w:rsidRPr="00AF2C7C">
        <w:rPr>
          <w:rFonts w:ascii="Times New Roman" w:hAnsi="Times New Roman"/>
          <w:sz w:val="28"/>
          <w:szCs w:val="28"/>
        </w:rPr>
        <w:t>Мінрегіону</w:t>
      </w:r>
      <w:proofErr w:type="spellEnd"/>
      <w:r w:rsidRPr="00AF2C7C">
        <w:rPr>
          <w:rFonts w:ascii="Times New Roman" w:hAnsi="Times New Roman"/>
          <w:sz w:val="28"/>
          <w:szCs w:val="28"/>
        </w:rPr>
        <w:t xml:space="preserve"> від 22 листопада 2018 р. № 315 (далі - Методика розподілу).</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13. Початок періоду виходу з ладу вузла комерційного обліку визначається:</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lastRenderedPageBreak/>
        <w:t>за даними електронного архіву в разі отримання з нього інформації щодо дати початку періоду виходу з ладу вузла комерційного обліку;</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з дати, наступної за днем останнього періодичного огляду вузла комерційного обліку або зняття його показань в інших випадках.</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Кінцем періоду виходу з ладу вузла комерційного обліку є день прийняття на абонентський облік відремонтованого або заміненого вузла комерційного обліку.</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14. Початок періоду відсутності вузла комерційного обліку у зв’язку з його втратою визначається з дня, наступного за днем останнього дистанційного отримання показань, або з дня, наступного за днем останнього зняття його показань (в інших випадках).</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Кінцем періоду відсутності вузла комерційного обліку у зв’язку з його втратою є дата прийняття на абонентський облік вузла комерційного обліку, встановленого на заміну втраченого.</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15. На час відсутності вузла комерційного обліку у зв’язку з його ремонтом, повіркою засобу вимірювальної техніки, який є складовою частиною вузла обліку, комерційний облік ведеться розрахунково відповідно до Методики розподілу.</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 xml:space="preserve">Початок періоду відсутності вузла комерційного обліку у зв’язку з його ремонтом, повіркою засобу вимірювальної техніки, який є складовою частиною вузла обліку, визначається з дати, наступної за днем </w:t>
      </w:r>
      <w:proofErr w:type="spellStart"/>
      <w:r w:rsidRPr="00AF2C7C">
        <w:rPr>
          <w:rFonts w:ascii="Times New Roman" w:hAnsi="Times New Roman"/>
          <w:sz w:val="28"/>
          <w:szCs w:val="28"/>
        </w:rPr>
        <w:t>розпломбування</w:t>
      </w:r>
      <w:proofErr w:type="spellEnd"/>
      <w:r w:rsidRPr="00AF2C7C">
        <w:rPr>
          <w:rFonts w:ascii="Times New Roman" w:hAnsi="Times New Roman"/>
          <w:sz w:val="28"/>
          <w:szCs w:val="28"/>
        </w:rPr>
        <w:t xml:space="preserve"> вузла комерційного обліку.</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Кінцем періоду відсутності вузла комерційного обліку у зв’язку з його ремонтом, повіркою засобу вимірювальної техніки, який є складовою частиною вузла обліку, є день прийняття на абонентський облік.</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 xml:space="preserve">16. Зняття показань засобів вимірювальної техніки вузла (вузлів) комерційного обліку виконавцем щомісяця </w:t>
      </w:r>
      <w:r w:rsidR="00AA1836" w:rsidRPr="00AF2C7C">
        <w:rPr>
          <w:rFonts w:ascii="Times New Roman" w:hAnsi="Times New Roman"/>
          <w:sz w:val="28"/>
          <w:szCs w:val="28"/>
        </w:rPr>
        <w:t>до 20 числа поточного місяця</w:t>
      </w:r>
      <w:r w:rsidRPr="00AF2C7C">
        <w:rPr>
          <w:rFonts w:ascii="Times New Roman" w:hAnsi="Times New Roman"/>
          <w:sz w:val="28"/>
          <w:szCs w:val="28"/>
        </w:rPr>
        <w:t xml:space="preserve"> в присутності споживача (його представника)</w:t>
      </w:r>
      <w:r w:rsidR="00AA1836" w:rsidRPr="00AF2C7C">
        <w:rPr>
          <w:rFonts w:ascii="Times New Roman" w:hAnsi="Times New Roman"/>
          <w:sz w:val="28"/>
          <w:szCs w:val="28"/>
        </w:rPr>
        <w:t>.</w:t>
      </w:r>
      <w:r w:rsidRPr="00AF2C7C">
        <w:rPr>
          <w:rFonts w:ascii="Times New Roman" w:hAnsi="Times New Roman"/>
          <w:sz w:val="28"/>
          <w:szCs w:val="28"/>
        </w:rPr>
        <w:t xml:space="preserve"> </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У такому разі виконавець зобов’язаний забезпечити можливість самостійного (без додаткового звернення до виконавця в кожному окремому випадку) ознайомлення з показаннями вузла (вузлів) комерційного обліку споживачем шляхом опублікування на веб-сайті виконавця, зазначення в рахунках на оплату послуги та/або через електронну систему обліку розрахунків споживача.</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17. У разі відсутності інформації про показання вузла (вузлів) комерційного обліку та/або недопущення споживачем виконавця до вузла (вузлів) комерційного обліку для зняття показань для визначення обсягу послуги, спожитої в будівлі, приймається середньодобове споживання послуг в будівлі протягом попередніх 12 місяців, а у разі відсутності такої інформації - за фактичний час споживання, але не менше 15 днів.</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Після відновлення надання показань вузлів комерційного обліку виконавець зобов’язаний провести перерахунок із споживачем.</w:t>
      </w:r>
    </w:p>
    <w:p w:rsidR="00C83CF0" w:rsidRPr="00AF2C7C" w:rsidRDefault="00C83CF0" w:rsidP="00AF2C7C">
      <w:pPr>
        <w:pStyle w:val="a9"/>
        <w:jc w:val="both"/>
        <w:rPr>
          <w:rFonts w:ascii="Times New Roman" w:hAnsi="Times New Roman"/>
          <w:sz w:val="28"/>
          <w:szCs w:val="28"/>
        </w:rPr>
      </w:pP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Перерахунок із споживачем проводиться у тому розрахунковому періоді, в якому отримано у встановленому порядку інформацію про невідповідність обсягу спожитих послуг, але не більше ніж за 12 розрахункових періодів.</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18. Виконавець має право доступу до будівель, приміщень і споруд, у яких встановлено вузли комерційного обліку, для перевірки схоронності таких вузлів обліку, зняття показань засобів вимірювальної техніки, що є складовою вузла комерційного обліку, та періодичного огляду у порядку, визначеному статтею 29 Закону України “Про житлово-комунальні послуги” і цим договором.</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 xml:space="preserve">Власник (співвласники) будівлі або його (їх) представники мають право доступу до місць установлення вузлів комерційного обліку для проведення перевірки </w:t>
      </w:r>
      <w:r w:rsidRPr="00AF2C7C">
        <w:rPr>
          <w:rFonts w:ascii="Times New Roman" w:hAnsi="Times New Roman"/>
          <w:sz w:val="28"/>
          <w:szCs w:val="28"/>
        </w:rPr>
        <w:lastRenderedPageBreak/>
        <w:t>схоронності та зняття показань. Втручання в роботу вузла комерційного обліку заборонено.</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Періодичний огляд вузла (вузлів) комерційного обліку здійснюється виконавцем під час зняття показань. У разі дистанційного зняття показань періодичний огляд проводиться виконавцем не рідше одного разу на рік.</w:t>
      </w:r>
    </w:p>
    <w:p w:rsidR="00DE294D" w:rsidRPr="00AF2C7C" w:rsidRDefault="00DE294D" w:rsidP="00AF2C7C">
      <w:pPr>
        <w:pStyle w:val="a9"/>
        <w:jc w:val="both"/>
        <w:rPr>
          <w:rFonts w:ascii="Times New Roman" w:hAnsi="Times New Roman"/>
          <w:spacing w:val="-4"/>
          <w:sz w:val="28"/>
          <w:szCs w:val="28"/>
        </w:rPr>
      </w:pPr>
      <w:r w:rsidRPr="00AF2C7C">
        <w:rPr>
          <w:rFonts w:ascii="Times New Roman" w:hAnsi="Times New Roman"/>
          <w:spacing w:val="-4"/>
          <w:sz w:val="28"/>
          <w:szCs w:val="28"/>
        </w:rPr>
        <w:t>Споживач повідомляє виконавцю про недоліки в роботі вузла комерційного обліку протягом п’яти робочих днів з дня виявлення засобами зв’язку, зазначеними в розділі “Реквізити і підписи сторін” цього договору.</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У разі коли споживач є власником (користувачем) приміщення у будівлі, а виконавець здійснює обслуговування та заміну вузла (вузлів) комерційного обліку, зокрема його огляд, опломбування/</w:t>
      </w:r>
      <w:proofErr w:type="spellStart"/>
      <w:r w:rsidRPr="00AF2C7C">
        <w:rPr>
          <w:rFonts w:ascii="Times New Roman" w:hAnsi="Times New Roman"/>
          <w:sz w:val="28"/>
          <w:szCs w:val="28"/>
        </w:rPr>
        <w:t>розпломбування</w:t>
      </w:r>
      <w:proofErr w:type="spellEnd"/>
      <w:r w:rsidRPr="00AF2C7C">
        <w:rPr>
          <w:rFonts w:ascii="Times New Roman" w:hAnsi="Times New Roman"/>
          <w:sz w:val="28"/>
          <w:szCs w:val="28"/>
        </w:rPr>
        <w:t>, ремонт (у тому числі з демонтажем, транспортуванням і монтажем) та періодичну повірку засобу вимірювальної техніки, який є складовою частиною вузла комерційного обліку, таке обслуговування здійснюється за рахунок плати за абонентське обслуговування.</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 xml:space="preserve">Заміна і обслуговування, зокрема огляд, опломбування/ </w:t>
      </w:r>
      <w:proofErr w:type="spellStart"/>
      <w:r w:rsidRPr="00AF2C7C">
        <w:rPr>
          <w:rFonts w:ascii="Times New Roman" w:hAnsi="Times New Roman"/>
          <w:sz w:val="28"/>
          <w:szCs w:val="28"/>
        </w:rPr>
        <w:t>розпломбування</w:t>
      </w:r>
      <w:proofErr w:type="spellEnd"/>
      <w:r w:rsidRPr="00AF2C7C">
        <w:rPr>
          <w:rFonts w:ascii="Times New Roman" w:hAnsi="Times New Roman"/>
          <w:sz w:val="28"/>
          <w:szCs w:val="28"/>
        </w:rPr>
        <w:t>, ремонт (у тому числі з демонтажем, транспортуванням і монтажем) та періодична повірка вузла (вузлів) розподільного обліку, здійснюються за рахунок споживача.</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Повірка засобів вимірювальної техніки, які є складовою частиною вузла (вузлів) комерційного обліку, здійснюється за рахунок споживача відповідно до Порядку подання засобів вимірювальної техніки на періодичну повірку, обслуговування та ремонт, затвердженого постановою Кабінету Міністрів України від 8 липня 2015 р. № 474 (Офіційний вісник України, 2015 р., № 55, ст. 1803).</w:t>
      </w:r>
    </w:p>
    <w:p w:rsidR="00C83CF0" w:rsidRPr="00AF2C7C" w:rsidRDefault="00C83CF0" w:rsidP="00AF2C7C">
      <w:pPr>
        <w:pStyle w:val="a9"/>
        <w:jc w:val="both"/>
        <w:rPr>
          <w:rFonts w:ascii="Times New Roman" w:hAnsi="Times New Roman"/>
          <w:sz w:val="28"/>
          <w:szCs w:val="28"/>
        </w:rPr>
      </w:pPr>
    </w:p>
    <w:p w:rsidR="00DE294D" w:rsidRPr="00005466" w:rsidRDefault="00DE294D" w:rsidP="00005466">
      <w:pPr>
        <w:pStyle w:val="a9"/>
        <w:jc w:val="center"/>
        <w:rPr>
          <w:rFonts w:ascii="Times New Roman" w:hAnsi="Times New Roman"/>
          <w:b/>
          <w:sz w:val="28"/>
          <w:szCs w:val="28"/>
        </w:rPr>
      </w:pPr>
      <w:r w:rsidRPr="00005466">
        <w:rPr>
          <w:rFonts w:ascii="Times New Roman" w:hAnsi="Times New Roman"/>
          <w:b/>
          <w:sz w:val="28"/>
          <w:szCs w:val="28"/>
        </w:rPr>
        <w:t xml:space="preserve">Ціна та порядок оплати послуги, порядок та умови </w:t>
      </w:r>
      <w:r w:rsidRPr="00005466">
        <w:rPr>
          <w:rFonts w:ascii="Times New Roman" w:hAnsi="Times New Roman"/>
          <w:b/>
          <w:sz w:val="28"/>
          <w:szCs w:val="28"/>
        </w:rPr>
        <w:br/>
        <w:t>внесення змін до договору</w:t>
      </w:r>
    </w:p>
    <w:p w:rsidR="00DE294D" w:rsidRPr="00AF2C7C" w:rsidRDefault="00DE294D" w:rsidP="00005466">
      <w:pPr>
        <w:pStyle w:val="a9"/>
        <w:jc w:val="both"/>
        <w:rPr>
          <w:rFonts w:ascii="Times New Roman" w:hAnsi="Times New Roman"/>
          <w:sz w:val="28"/>
          <w:szCs w:val="28"/>
        </w:rPr>
      </w:pPr>
      <w:r w:rsidRPr="00AF2C7C">
        <w:rPr>
          <w:rFonts w:ascii="Times New Roman" w:hAnsi="Times New Roman"/>
          <w:sz w:val="28"/>
          <w:szCs w:val="28"/>
        </w:rPr>
        <w:t>19. Споживач вносить однією сумою плату виконавцю за послуги, що розраховується виходячи з розміру затверджених тарифів на послуги з централізованого водопостачання та централізованого водовідведення та обсягу спожитих послуг, визначеного відповідно до Правил надання послуги з централізованого водопостачання та централізованого водовідведення, затверджених постановою Кабінету Міністрів України від 5 липня 2019 р. № 690 (Офіційний вісник України, 2019 р.,</w:t>
      </w:r>
      <w:r w:rsidR="00005466">
        <w:rPr>
          <w:rFonts w:ascii="Times New Roman" w:hAnsi="Times New Roman"/>
          <w:sz w:val="28"/>
          <w:szCs w:val="28"/>
        </w:rPr>
        <w:t xml:space="preserve"> </w:t>
      </w:r>
      <w:r w:rsidRPr="00AF2C7C">
        <w:rPr>
          <w:rFonts w:ascii="Times New Roman" w:hAnsi="Times New Roman"/>
          <w:sz w:val="28"/>
          <w:szCs w:val="28"/>
        </w:rPr>
        <w:t xml:space="preserve">№ 63, ст. 2194), - в редакції постанови Кабінету Міністрів України від 2 лютого 2022 р. № 85, та </w:t>
      </w:r>
      <w:r w:rsidR="00005466">
        <w:rPr>
          <w:rFonts w:ascii="Times New Roman" w:hAnsi="Times New Roman"/>
          <w:sz w:val="28"/>
          <w:szCs w:val="28"/>
        </w:rPr>
        <w:t>м</w:t>
      </w:r>
      <w:r w:rsidRPr="00AF2C7C">
        <w:rPr>
          <w:rFonts w:ascii="Times New Roman" w:hAnsi="Times New Roman"/>
          <w:sz w:val="28"/>
          <w:szCs w:val="28"/>
        </w:rPr>
        <w:t>етодики розподілу.</w:t>
      </w:r>
    </w:p>
    <w:p w:rsidR="00AF2C7C"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 xml:space="preserve">У разі коли споживач є власником (користувачем) приміщення у будівлі, а розподіл спожитих послуг здійснюється виконавцем, такому споживачу нараховується </w:t>
      </w:r>
      <w:r w:rsidR="007C0A41" w:rsidRPr="007C0A41">
        <w:rPr>
          <w:rFonts w:ascii="Times New Roman" w:hAnsi="Times New Roman"/>
          <w:sz w:val="28"/>
          <w:szCs w:val="28"/>
        </w:rPr>
        <w:t>плата за абонентське обслуговування</w:t>
      </w:r>
      <w:r w:rsidR="00AA1836" w:rsidRPr="00AF2C7C">
        <w:rPr>
          <w:rFonts w:ascii="Times New Roman" w:hAnsi="Times New Roman"/>
          <w:sz w:val="28"/>
          <w:szCs w:val="28"/>
        </w:rPr>
        <w:t xml:space="preserve">, </w:t>
      </w:r>
      <w:r w:rsidRPr="00AF2C7C">
        <w:rPr>
          <w:rFonts w:ascii="Times New Roman" w:hAnsi="Times New Roman"/>
          <w:sz w:val="28"/>
          <w:szCs w:val="28"/>
        </w:rPr>
        <w:t xml:space="preserve"> </w:t>
      </w:r>
      <w:r w:rsidR="00AA1836" w:rsidRPr="00AF2C7C">
        <w:rPr>
          <w:rFonts w:ascii="Times New Roman" w:hAnsi="Times New Roman"/>
          <w:sz w:val="28"/>
          <w:szCs w:val="28"/>
        </w:rPr>
        <w:t>яка (у випадку її встановлення) визначається виконавцем</w:t>
      </w:r>
      <w:r w:rsidR="00AF2C7C" w:rsidRPr="00AF2C7C">
        <w:rPr>
          <w:rFonts w:ascii="Times New Roman" w:hAnsi="Times New Roman"/>
          <w:sz w:val="28"/>
          <w:szCs w:val="28"/>
        </w:rPr>
        <w:t xml:space="preserve">, але не вище граничного розміру, визначеного Кабінетом Міністрів України, інформація про яку розміщується на веб-сайті органу місцевого самоврядування: </w:t>
      </w:r>
      <w:hyperlink r:id="rId4" w:history="1">
        <w:r w:rsidR="00AF2C7C" w:rsidRPr="00AF2C7C">
          <w:rPr>
            <w:rStyle w:val="a6"/>
            <w:rFonts w:ascii="Times New Roman" w:hAnsi="Times New Roman"/>
            <w:sz w:val="28"/>
            <w:szCs w:val="28"/>
          </w:rPr>
          <w:t>https://mpmr.gov.ua/</w:t>
        </w:r>
      </w:hyperlink>
      <w:r w:rsidR="00AF2C7C" w:rsidRPr="00AF2C7C">
        <w:rPr>
          <w:rFonts w:ascii="Times New Roman" w:hAnsi="Times New Roman"/>
          <w:sz w:val="28"/>
          <w:szCs w:val="28"/>
        </w:rPr>
        <w:t>.</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20. Вартість послуг з централізованого водопостачання та централізованого водовідведення визначається за обсягом спожитих послуг та встановленими відповідно до законодавства тарифами.</w:t>
      </w:r>
    </w:p>
    <w:p w:rsidR="00AF2C7C" w:rsidRPr="00AF2C7C" w:rsidRDefault="00AF2C7C" w:rsidP="00AF2C7C">
      <w:pPr>
        <w:pStyle w:val="a9"/>
        <w:jc w:val="both"/>
        <w:rPr>
          <w:rFonts w:ascii="Times New Roman" w:hAnsi="Times New Roman"/>
          <w:sz w:val="28"/>
          <w:szCs w:val="28"/>
        </w:rPr>
      </w:pPr>
      <w:r w:rsidRPr="00AF2C7C">
        <w:rPr>
          <w:rFonts w:ascii="Times New Roman" w:hAnsi="Times New Roman"/>
          <w:sz w:val="28"/>
          <w:szCs w:val="28"/>
        </w:rPr>
        <w:t>Станом на дату розміщення цього договору тариф на послугу з централізованого водопостачання становить 13,07 гривень за куб. метр, тариф на послугу з централізованого водовідведення становить 18,17 гривень за куб. метр, а всього – 31 грн. 24 коп. за 1 куб. м., абонентська плата не нараховуються.</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 xml:space="preserve">У разі прийняття уповноваженим органом рішення про зміну цін/тарифів на послугу з централізованого водопостачання та/або на послугу з централізованого </w:t>
      </w:r>
      <w:r w:rsidRPr="00AF2C7C">
        <w:rPr>
          <w:rFonts w:ascii="Times New Roman" w:hAnsi="Times New Roman"/>
          <w:sz w:val="28"/>
          <w:szCs w:val="28"/>
        </w:rPr>
        <w:lastRenderedPageBreak/>
        <w:t>водовідведення виконавець у строк, що не перевищує 15 днів з дати введення її у дію, повідомляє про це споживачу з посиланням на рішення відповідного органу.</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У разі зміни зазначених тарифів протягом строку дії цього договору новий розмір тарифів застосовується з моменту його введення в дію без внесення сторонами додаткових змін до цього договору. Виконавець зобов’язаний забезпечити їх оприлюднення на офіційному веб-сайті.</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21. Розрахунковим періодом для оплати обсягу спожитих послуг є календарний місяць.</w:t>
      </w:r>
    </w:p>
    <w:p w:rsidR="00AF2C7C" w:rsidRPr="00AF2C7C" w:rsidRDefault="00AF2C7C" w:rsidP="00AF2C7C">
      <w:pPr>
        <w:pStyle w:val="a9"/>
        <w:jc w:val="both"/>
        <w:rPr>
          <w:rFonts w:ascii="Times New Roman" w:hAnsi="Times New Roman"/>
          <w:sz w:val="28"/>
          <w:szCs w:val="28"/>
        </w:rPr>
      </w:pPr>
      <w:r w:rsidRPr="00AF2C7C">
        <w:rPr>
          <w:rFonts w:ascii="Times New Roman" w:hAnsi="Times New Roman"/>
          <w:sz w:val="28"/>
          <w:szCs w:val="28"/>
        </w:rPr>
        <w:t xml:space="preserve">Плата за абонентське обслуговування нараховується щомісяця, починаючи з дати введення її в дію, про що буде повідомлено виконавцем на веб-сайті органу місцевого самоврядування: </w:t>
      </w:r>
      <w:hyperlink r:id="rId5" w:history="1">
        <w:r w:rsidRPr="00AF2C7C">
          <w:rPr>
            <w:rStyle w:val="a6"/>
            <w:rFonts w:ascii="Times New Roman" w:hAnsi="Times New Roman"/>
            <w:sz w:val="28"/>
            <w:szCs w:val="28"/>
          </w:rPr>
          <w:t>https://mpmr.gov.ua/</w:t>
        </w:r>
      </w:hyperlink>
      <w:r w:rsidRPr="00AF2C7C">
        <w:rPr>
          <w:rFonts w:ascii="Times New Roman" w:hAnsi="Times New Roman"/>
          <w:sz w:val="28"/>
          <w:szCs w:val="28"/>
        </w:rPr>
        <w:t>.</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Початок і закінчення розрахункового періоду для розрахунку розміру плати за абонентське обслуговування завжди збігаються з початком і закінченням календарного місяця відповідно.</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22. Виконавець формує та надає споживачу рахунок на оплату спожитих послуг не пізніше ніж за десять днів до граничного строку внесення плати за спожиту послугу.</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Рахунок надається на паперовому носії. На вимогу або за згодою споживача рахунок може надаватися в електронній формі, у тому числі за допомогою доступу до електронних систем обліку розрахунків споживачів.</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23. Споживач здійснює оплату за цим договором щомісяця не пізніше останнього числа місяця, що є розрахунковим періодом.</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24. За бажанням споживача оплата послуг може здійснюватися шляхом внесення авансових платежів.</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25. Під час здійснення оплати споживач зобов’язаний зазначити розрахунковий період, за який вона здійснюється, та призначення платежу (плата виконавцю, сплата пені, штрафів).</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У разі коли споживачем не визначено розрахункового періоду або за зазначений споживачем період виникла переплата, виконавець має право зарахувати такий платіж (його частину в розмірі переплати) в рахунок заборгованості споживача за минулі розрахункові періоди або в рахунок майбутніх платежів споживача починаючи з найближчих періодів від дати здійснення платежу.</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26. Плата за послугу не нараховується за час перерв, визначених частиною першою статті 16 Закону України “Про житлово-комунальні послуги”.</w:t>
      </w:r>
    </w:p>
    <w:p w:rsidR="00DE294D" w:rsidRPr="00005466" w:rsidRDefault="00DE294D" w:rsidP="00005466">
      <w:pPr>
        <w:pStyle w:val="a9"/>
        <w:jc w:val="center"/>
        <w:rPr>
          <w:rFonts w:ascii="Times New Roman" w:hAnsi="Times New Roman"/>
          <w:b/>
          <w:sz w:val="28"/>
          <w:szCs w:val="28"/>
        </w:rPr>
      </w:pPr>
      <w:r w:rsidRPr="00005466">
        <w:rPr>
          <w:rFonts w:ascii="Times New Roman" w:hAnsi="Times New Roman"/>
          <w:b/>
          <w:sz w:val="28"/>
          <w:szCs w:val="28"/>
        </w:rPr>
        <w:t>Права і обов’язки сторін</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27. Споживач має право:</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1) одержувати своєчасно та належної якості послуги згідно із законодавством та умовами договору;</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2) без додаткової оплати одержувати від виконавця інформацію про ціни/тарифи, загальну вартість місячного платежу, структуру цін/тарифів, порядок оплати, норми споживання та порядок надання послуг, а також про їх споживчі властивості;</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3) на відшкодування збитків, завданих його майну, шкоди, заподіяної його життю або здоров’ю внаслідок неналежного надання або ненадання послуг та незаконного проникнення в належне йому житло (інший об’єкт нерухомого майна);</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4) на усунення протягом строку, встановленого договором або законодавством, виявлених недоліків у наданні послуг;</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5) на зменшення у встановленому законодавством порядку розміру плати за послуги у разі їх ненадання, надання не в повному обсязі або неналежної якості;</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lastRenderedPageBreak/>
        <w:t>6) отримувати від виконавця штраф у розмірі, визначеному договором, за перевищення нормативних строків проведення аварійно-відновних робіт;</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7) на перевірку кількості та якості послуг у встановленому законодавством порядку;</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8) складати та підписувати акти-претензії у зв’язку з порушенням порядку надання послуг, зміною їх споживчих властивостей та перевищенням строків проведення аварійно-відновних робіт;</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9) без додаткової оплати отримувати інформацію про проведені виконавцем нарахування (з розподілом за періодами та видами нарахувань) та отримані від споживача платежі;</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10) розірвання договору про надання послуг за умови попередження про це виконавця не менш як за два місяці до дати розірвання договору та допуску виконавця для здійснення технічного припинення надання послуг;</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11) отримувати без додаткової оплати від виконавця детального розрахунку обсягу спожитих послуг між споживачами багатоквартирного будинку (для власників (користувачів) приміщення у будівлі);</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12) звертатися до суду в разі порушення виконавцем умов договору.</w:t>
      </w:r>
    </w:p>
    <w:p w:rsidR="00DE294D" w:rsidRPr="00AF2C7C" w:rsidRDefault="00DE294D" w:rsidP="00AF2C7C">
      <w:pPr>
        <w:pStyle w:val="a9"/>
        <w:jc w:val="both"/>
        <w:rPr>
          <w:rFonts w:ascii="Times New Roman" w:hAnsi="Times New Roman"/>
          <w:sz w:val="28"/>
          <w:szCs w:val="28"/>
        </w:rPr>
      </w:pP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28. Споживач зобов’язаний:</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1) раціонально використовувати питну воду, не допускати її витоку із мереж будівлі (приміщення у будівлі), індивідуального (садибного) житлового будинку;</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2) утримувати в належному технічному і санітарному стані водопровідні мережі та обладнання;</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 xml:space="preserve">3) допускати у будівлю (приміщення у будівлі) виконавців комунальних послуг або їх представників у порядку, визначеному законом і договорами про надання відповідних житлово-комунальних послуг, для ліквідації аварій, проведення технічних та профілактичних оглядів і перевірки показань засобів вимірювальної техніки; </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4) своєчасно вживати заходів до усунення виявлених неполадок, пов’язаних з отриманням послуг, що виникли з його вини;</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 xml:space="preserve">5) забезпечувати цілісність обладнання вузлів обліку послуги та не втручатися в їх роботу; </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6) оплачувати надані послуги за цінами/тарифами, встановленими відповідно до законодавства, а також вносити плату за абонентське обслуговування у строки, встановлені цим договором;</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7) у разі несвоєчасного здійснення платежів за послуги сплачувати пеню в розмірах, установлених законом або договором;</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8) інформувати протягом місяця виконавця про зміну власника будівлі споживача у разі відчуження будівлі шляхом надання виконавцю витягу або інформації з Реєстру речових прав на нерухоме майно;</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9) надавати виконавцеві показання вузлів обліку холодної та гарячої води в порядку та строки, визначені договором;</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10) дотримуватися правил безпеки, зокрема пожежної, та санітарних норм.</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 xml:space="preserve">29. Виконавець має право: </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1) вимагати від споживача дотримання правил експлуатації житлових та нежитлових приміщень у будинку, санітарно-гігієнічних правил і правил пожежної безпеки, вимог нормативно-правових актів у сфері комунальних послуг;</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lastRenderedPageBreak/>
        <w:t>2) вимагати від споживача проведення робіт з усунення виявлених неполадок, пов’язаних з отриманням послуг, що виникли з вини споживача, або відшкодування вартості таких робіт;</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3) доступу до будівлі (приміщення у будівлі), індивідуального (садибного) житлового будинку для ліквідації аварій, проведення технічних та профілактичних оглядів і перевірки показань вузлів обліку в порядку, визначеному законом та умовами договору;</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 xml:space="preserve">4) обмежити (припинити) надання послуг у разі їх </w:t>
      </w:r>
      <w:proofErr w:type="spellStart"/>
      <w:r w:rsidRPr="00AF2C7C">
        <w:rPr>
          <w:rFonts w:ascii="Times New Roman" w:hAnsi="Times New Roman"/>
          <w:sz w:val="28"/>
          <w:szCs w:val="28"/>
        </w:rPr>
        <w:t>неоплати</w:t>
      </w:r>
      <w:proofErr w:type="spellEnd"/>
      <w:r w:rsidRPr="00AF2C7C">
        <w:rPr>
          <w:rFonts w:ascii="Times New Roman" w:hAnsi="Times New Roman"/>
          <w:sz w:val="28"/>
          <w:szCs w:val="28"/>
        </w:rPr>
        <w:t xml:space="preserve"> або оплати не в повному обсязі в порядку і строки, що встановлені законом та договором, крім випадків, коли якість та/або кількість таких послуг не відповідає умовам договору</w:t>
      </w:r>
      <w:r w:rsidR="00643603" w:rsidRPr="00AF2C7C">
        <w:rPr>
          <w:rFonts w:ascii="Times New Roman" w:hAnsi="Times New Roman"/>
          <w:sz w:val="28"/>
          <w:szCs w:val="28"/>
        </w:rPr>
        <w:t xml:space="preserve"> </w:t>
      </w:r>
      <w:r w:rsidR="00643603" w:rsidRPr="00AF2C7C">
        <w:rPr>
          <w:rStyle w:val="st42"/>
          <w:rFonts w:ascii="Times New Roman" w:eastAsiaTheme="minorHAnsi" w:hAnsi="Times New Roman"/>
          <w:sz w:val="28"/>
          <w:szCs w:val="28"/>
          <w:lang w:val="x-none"/>
        </w:rPr>
        <w:t>та/або якщо заборона щодо обмеження (припинення) надання послуги передбачена актами законодавства</w:t>
      </w:r>
      <w:r w:rsidRPr="00AF2C7C">
        <w:rPr>
          <w:rFonts w:ascii="Times New Roman" w:hAnsi="Times New Roman"/>
          <w:sz w:val="28"/>
          <w:szCs w:val="28"/>
        </w:rPr>
        <w:t>;</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5) звертатися до суду в разі порушення споживачем умов договору;</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6) отримувати інформацію від споживача про зміну власника будівлі (приміщення у будівлі), індивідуального (садибного) житлового будинку у випадках та порядку, передбачених договором;</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7) утворювати системи управління якістю та проводити їх сертифікацію відповідно до національних або міжнародних стандартів акредитованими органами із сертифікації.</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 xml:space="preserve">30. Виконавець зобов’язаний: </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 xml:space="preserve">1) надавати споживачу послуги з централізованого водопостачання та/або централізованого водовідведення відповідно до умов договору; </w:t>
      </w:r>
    </w:p>
    <w:p w:rsidR="00DE294D" w:rsidRPr="00AF2C7C" w:rsidRDefault="00DE294D" w:rsidP="00AF2C7C">
      <w:pPr>
        <w:pStyle w:val="a9"/>
        <w:jc w:val="both"/>
        <w:rPr>
          <w:rFonts w:ascii="Times New Roman" w:hAnsi="Times New Roman"/>
          <w:sz w:val="28"/>
          <w:szCs w:val="28"/>
          <w:shd w:val="clear" w:color="auto" w:fill="FFFFFF"/>
        </w:rPr>
      </w:pPr>
      <w:r w:rsidRPr="00AF2C7C">
        <w:rPr>
          <w:rFonts w:ascii="Times New Roman" w:hAnsi="Times New Roman"/>
          <w:sz w:val="28"/>
          <w:szCs w:val="28"/>
          <w:shd w:val="clear" w:color="auto" w:fill="FFFFFF"/>
        </w:rPr>
        <w:t>2) вживати заходів до забезпечення питною водою у разі порушення функціонування систем централізованого водопостачання та водовідведення (аварійні ситуації);</w:t>
      </w:r>
    </w:p>
    <w:p w:rsidR="00DE294D" w:rsidRPr="00AF2C7C" w:rsidRDefault="00DE294D" w:rsidP="00AF2C7C">
      <w:pPr>
        <w:pStyle w:val="a9"/>
        <w:jc w:val="both"/>
        <w:rPr>
          <w:rFonts w:ascii="Times New Roman" w:hAnsi="Times New Roman"/>
          <w:sz w:val="28"/>
          <w:szCs w:val="28"/>
          <w:shd w:val="clear" w:color="auto" w:fill="FFFFFF"/>
        </w:rPr>
      </w:pPr>
      <w:r w:rsidRPr="00AF2C7C">
        <w:rPr>
          <w:rFonts w:ascii="Times New Roman" w:hAnsi="Times New Roman"/>
          <w:sz w:val="28"/>
          <w:szCs w:val="28"/>
          <w:shd w:val="clear" w:color="auto" w:fill="FFFFFF"/>
        </w:rPr>
        <w:t>3) вирішувати питання, пов’язані з порушенням функціонування систем централізованого водопостачання та водовідведення (аварійні ситуації), відповідно до плану оперативних дій із забезпечення споживачів питною водою у відповідному населеному пункті (районі);</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 xml:space="preserve">4) відшкодовувати збитки, завдані споживачу внаслідок порушення вимог законодавства у сфері питної води, питного водопостачання та централізованого водовідведення, що сталося з його вини;  </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 xml:space="preserve">5) забезпечувати своєчасність надання, безперервність і відповідну якість послуг згідно із законодавством та умовами договору, зокрема шляхом створення системи управління якістю відповідно до національних або міжнародних стандартів; </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 xml:space="preserve">6) без додаткової оплати надавати споживачу в установленому законодавством порядку необхідну інформацію про ціни/тарифи, загальну вартість місячного платежу, структуру цін/тарифів, норми споживання, порядок надання послуг, їх споживчі властивості, а також іншу інформацію, передбачену законодавством; </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 xml:space="preserve">7) у </w:t>
      </w:r>
      <w:proofErr w:type="spellStart"/>
      <w:r w:rsidRPr="00AF2C7C">
        <w:rPr>
          <w:rFonts w:ascii="Times New Roman" w:hAnsi="Times New Roman"/>
          <w:sz w:val="28"/>
          <w:szCs w:val="28"/>
        </w:rPr>
        <w:t>міжопалювальний</w:t>
      </w:r>
      <w:proofErr w:type="spellEnd"/>
      <w:r w:rsidRPr="00AF2C7C">
        <w:rPr>
          <w:rFonts w:ascii="Times New Roman" w:hAnsi="Times New Roman"/>
          <w:sz w:val="28"/>
          <w:szCs w:val="28"/>
        </w:rPr>
        <w:t xml:space="preserve"> період проводити підготовку об’єктів житлово-комунального господарства до експлуатації в осінньо-зимовий період;</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8) розглядати у визначений законодавством строк претензії та скарги споживача і проводити відповідні перерахунки розміру плати за послуги в разі їх ненадання, надання не в повному обсязі, несвоєчасно або неналежної якості, а також в інших випадках, визначених договором;</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9) вживати заходів до ліквідації аварій, усунення порушень якості послуг, що сталися з вини виконавця або на об’єктах, що забезпечують надання послуг та перебувають у його власності (користуванні), у строк, встановлений договором, але не більше семи діб;</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lastRenderedPageBreak/>
        <w:t>10) виплачувати споживачу штраф за перевищення встановлених строків проведення аварійно-відновних робіт на об’єктах, що забезпечують надання послуг та перебувають у його власності (користуванні), у розмірі, визначеному договором;</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11) своєчасно реагувати на виклики споживача, підписувати акти-претензії, вести облік вимог (претензій) споживача у зв’язку з порушенням порядку надання послуг;</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12) своєчасно та за власний рахунок проводити роботи з усунення виявлених неполадок, пов’язаних з наданням послуг, що виникли з його вини;</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13) інформувати споживачів про намір зміни цін/тарифів на послуги відповідно до законодавства;</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14) відшкодовувати збитки, завдані майну, шкоду, заподіяну життю або здоров’ю споживача внаслідок неналежного надання або ненадання послуги та незаконного проникнення в належну йому будівлю (приміщення у будівлі);</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 xml:space="preserve">15) контролювати дотримання установлених </w:t>
      </w:r>
      <w:proofErr w:type="spellStart"/>
      <w:r w:rsidRPr="00AF2C7C">
        <w:rPr>
          <w:rFonts w:ascii="Times New Roman" w:hAnsi="Times New Roman"/>
          <w:sz w:val="28"/>
          <w:szCs w:val="28"/>
        </w:rPr>
        <w:t>міжповірочних</w:t>
      </w:r>
      <w:proofErr w:type="spellEnd"/>
      <w:r w:rsidRPr="00AF2C7C">
        <w:rPr>
          <w:rFonts w:ascii="Times New Roman" w:hAnsi="Times New Roman"/>
          <w:sz w:val="28"/>
          <w:szCs w:val="28"/>
        </w:rPr>
        <w:t xml:space="preserve"> інтервалів для засобів вимірювальної техніки, які є складовою частиною вузлів комерційного обліку;</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16) прибути на виклик споживача для перевірки якості надання послуги у строк не пізніше ніж протягом однієї доби з моменту отримання відповідного повідомлення споживача;</w:t>
      </w:r>
    </w:p>
    <w:p w:rsidR="00DE294D" w:rsidRPr="00AF2C7C" w:rsidRDefault="00DE294D" w:rsidP="00AF2C7C">
      <w:pPr>
        <w:pStyle w:val="a9"/>
        <w:jc w:val="both"/>
        <w:rPr>
          <w:rFonts w:ascii="Times New Roman" w:hAnsi="Times New Roman"/>
          <w:color w:val="000000"/>
          <w:sz w:val="28"/>
          <w:szCs w:val="28"/>
        </w:rPr>
      </w:pPr>
      <w:r w:rsidRPr="00AF2C7C">
        <w:rPr>
          <w:rFonts w:ascii="Times New Roman" w:hAnsi="Times New Roman"/>
          <w:sz w:val="28"/>
          <w:szCs w:val="28"/>
        </w:rPr>
        <w:t xml:space="preserve">17) </w:t>
      </w:r>
      <w:r w:rsidRPr="00AF2C7C">
        <w:rPr>
          <w:rFonts w:ascii="Times New Roman" w:hAnsi="Times New Roman"/>
          <w:color w:val="000000"/>
          <w:sz w:val="28"/>
          <w:szCs w:val="28"/>
        </w:rPr>
        <w:t>самостійно протягом місяця, що настає за розрахунковим періодом, здійснювати перерахунок вартості послуг за весь період їх ненадання, надання не в повному обсязі або неналежної якості відповідно до порядку, визначеного Кабінетом Міністрів України, а також сплачувати споживачеві неустойку (штраф) у розмірі 0,01 відсотка середньодобової вартості споживання послуг з централізованого водопостачання та централізованого водовідведення, визначеної за попередні 12 місяців (якщо попередніх місяців нараховується менш як 12 - за фактичний час споживання послуг), за кожен день ненадання послуг, надання їх не в повному обсязі або неналежної якості (за виключенням нормативних строків проведення аварійно-відновних робіт або періоду, протягом якого відбувалися ліквідація або усунення виявлених неполадок, пов’язаних з отриманням послуг, що виникли з вини споживача).</w:t>
      </w:r>
    </w:p>
    <w:p w:rsidR="00DE294D" w:rsidRPr="00005466" w:rsidRDefault="00DE294D" w:rsidP="00005466">
      <w:pPr>
        <w:pStyle w:val="a9"/>
        <w:jc w:val="center"/>
        <w:rPr>
          <w:rFonts w:ascii="Times New Roman" w:hAnsi="Times New Roman"/>
          <w:b/>
          <w:sz w:val="28"/>
          <w:szCs w:val="28"/>
        </w:rPr>
      </w:pPr>
      <w:r w:rsidRPr="00005466">
        <w:rPr>
          <w:rFonts w:ascii="Times New Roman" w:hAnsi="Times New Roman"/>
          <w:b/>
          <w:sz w:val="28"/>
          <w:szCs w:val="28"/>
        </w:rPr>
        <w:t>Відповідальність сторін за порушення умов договору</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31. Сторони несуть відповідальність за невиконання умов цього договору відповідно до цього договору або закону.</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32. У разі несвоєчасного здійснення платежів споживач зобов’язаний сплатити пеню в розмірі 0,01 відсотка суми боргу за кожний день прострочення. Загальний розмір сплаченої пені не може перевищувати 100 відсотків загальної суми боргу.</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Нарахування пені починається з першого робочого дня, що настає за останнім днем граничного строку внесення плати за послугу.</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Для споживача, що є власником індивідуального (садибного) житлового будинку, пеня не нараховується за умови наявності заборгованості держави за надані населенню пільги та житлові субсидії та/або наявності у споживача заборгованості з оплати праці, підтвердженої належним чином.</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 xml:space="preserve">33. У разі ненадання послуг, надання їх не в повному обсязі або неналежної якості виконавець зобов’язаний самостійно протягом місяця, що настає за розрахунковим періодом, здійснити перерахунок вартості послуг за весь період їх ненадання, надання не в повному обсязі або неналежної якості відповідно до порядку, визначеного Кабінетом Міністрів України, а також сплатити споживачу неустойку (штраф) у розмірі 0,01 відсотка вартості середньодобового споживання послуги, визначеної за попередні 12 місяців (якщо попередніх місяців нараховується менш як 12 - за фактичний час споживання послуги, але не менше 15 днів), за кожен день ненадання </w:t>
      </w:r>
      <w:r w:rsidRPr="00AF2C7C">
        <w:rPr>
          <w:rFonts w:ascii="Times New Roman" w:hAnsi="Times New Roman"/>
          <w:sz w:val="28"/>
          <w:szCs w:val="28"/>
        </w:rPr>
        <w:lastRenderedPageBreak/>
        <w:t xml:space="preserve">послуг, надання їх не в повному обсязі або неналежної якості (крім нормативних строків проведення аварійно-відновних робіт або періоду, протягом якого </w:t>
      </w:r>
      <w:r w:rsidRPr="00AF2C7C">
        <w:rPr>
          <w:rFonts w:ascii="Times New Roman" w:hAnsi="Times New Roman"/>
          <w:color w:val="000000"/>
          <w:sz w:val="28"/>
          <w:szCs w:val="28"/>
        </w:rPr>
        <w:t xml:space="preserve">відбувалися </w:t>
      </w:r>
      <w:r w:rsidRPr="00AF2C7C">
        <w:rPr>
          <w:rFonts w:ascii="Times New Roman" w:hAnsi="Times New Roman"/>
          <w:sz w:val="28"/>
          <w:szCs w:val="28"/>
        </w:rPr>
        <w:t>ліквідація або усунення виявлених неполадок, пов’язаних з отриманням послуг, що виникли з вини споживача).</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34. Виконавець має право обмежити (припинити) надання послуг споживачу в разі непогашення в повному обсязі заборгованості за спожиті послуги протягом 30 днів з дня отримання споживачем попередження від виконавця.</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Попередження надсилається споживачу рекомендованим листом (з повідомленням про вручення) та за допомогою електронних систем розрахунків споживача (за наявності)</w:t>
      </w:r>
      <w:r w:rsidR="00AF2C7C" w:rsidRPr="00AF2C7C">
        <w:rPr>
          <w:rFonts w:ascii="Times New Roman" w:hAnsi="Times New Roman"/>
          <w:sz w:val="28"/>
          <w:szCs w:val="28"/>
        </w:rPr>
        <w:t>.</w:t>
      </w:r>
      <w:r w:rsidRPr="00AF2C7C">
        <w:rPr>
          <w:rFonts w:ascii="Times New Roman" w:hAnsi="Times New Roman"/>
          <w:sz w:val="28"/>
          <w:szCs w:val="28"/>
        </w:rPr>
        <w:t xml:space="preserve"> </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35. Обмеження (припинення) надання послуги здійснюється виконавцем відповідно до частини четвертої статті 26 Закону України “Про житлово-комунальні послуги”.</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36. Постачання послуг у разі їх обмеження (припинення) відновлюється в повному обсязі протягом наступного дня з дати повного погашення заборгованості за фактично спожиті послуги чи з дати укладення угоди про реструктуризацію такої заборгованості.</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Витрати виконавця, пов’язані з відновленням надання послуг споживачу, підлягають відшкодуванню за рахунок споживача відповідно до кошторису витрат на відновлення надання послуг, складеного виконавцем.</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37. Виконавець не несе відповідальності за ненадання послуг, надання їх не в повному обсязі або невідповідної якості, якщо доведе, що в точці обліку послуг їх якість відповідала вимогам, установленим цим договором, та актам законодавства.</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Виконавець не несе відповідальності за ненадання послуг, надання їх не в повному обсязі або невідповідної якості під час перерв, передбачених частиною першою статті 16 Закону України “Про житлово-комунальні послуги”.</w:t>
      </w:r>
    </w:p>
    <w:p w:rsidR="00C83CF0" w:rsidRPr="00AF2C7C" w:rsidRDefault="00C83CF0" w:rsidP="00AF2C7C">
      <w:pPr>
        <w:pStyle w:val="a9"/>
        <w:jc w:val="both"/>
        <w:rPr>
          <w:rFonts w:ascii="Times New Roman" w:hAnsi="Times New Roman"/>
          <w:sz w:val="28"/>
          <w:szCs w:val="28"/>
        </w:rPr>
      </w:pPr>
    </w:p>
    <w:p w:rsidR="00DE294D" w:rsidRPr="00005466" w:rsidRDefault="00DE294D" w:rsidP="00005466">
      <w:pPr>
        <w:pStyle w:val="a9"/>
        <w:jc w:val="center"/>
        <w:rPr>
          <w:rFonts w:ascii="Times New Roman" w:hAnsi="Times New Roman"/>
          <w:b/>
          <w:sz w:val="28"/>
          <w:szCs w:val="28"/>
        </w:rPr>
      </w:pPr>
      <w:r w:rsidRPr="00005466">
        <w:rPr>
          <w:rFonts w:ascii="Times New Roman" w:hAnsi="Times New Roman"/>
          <w:b/>
          <w:sz w:val="28"/>
          <w:szCs w:val="28"/>
        </w:rPr>
        <w:t>Особливі умови</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 xml:space="preserve">38. До споживачів, які використовують питну воду для виробництва продукції, для виробничих потреб та скидають до систем централізованого водовідведення стічні води технологічного походження, застосовуються норми, встановлені Законом України “Про питну воду, питне водопостачання та водовідведення”, Правилами користування системами централізованого комунального водопостачання та водовідведення в населених пунктах України, затвердженими наказом </w:t>
      </w:r>
      <w:proofErr w:type="spellStart"/>
      <w:r w:rsidRPr="00AF2C7C">
        <w:rPr>
          <w:rFonts w:ascii="Times New Roman" w:hAnsi="Times New Roman"/>
          <w:sz w:val="28"/>
          <w:szCs w:val="28"/>
        </w:rPr>
        <w:t>Мінжитлокомунгоспу</w:t>
      </w:r>
      <w:proofErr w:type="spellEnd"/>
      <w:r w:rsidRPr="00AF2C7C">
        <w:rPr>
          <w:rFonts w:ascii="Times New Roman" w:hAnsi="Times New Roman"/>
          <w:sz w:val="28"/>
          <w:szCs w:val="28"/>
        </w:rPr>
        <w:t xml:space="preserve"> від 27 червня 2008 р. № 190, Правилами приймання стічних вод до систем централізованого водовідведення, що затверджені наказом </w:t>
      </w:r>
      <w:proofErr w:type="spellStart"/>
      <w:r w:rsidRPr="00AF2C7C">
        <w:rPr>
          <w:rFonts w:ascii="Times New Roman" w:hAnsi="Times New Roman"/>
          <w:sz w:val="28"/>
          <w:szCs w:val="28"/>
        </w:rPr>
        <w:t>Мінрегіону</w:t>
      </w:r>
      <w:proofErr w:type="spellEnd"/>
      <w:r w:rsidRPr="00AF2C7C">
        <w:rPr>
          <w:rFonts w:ascii="Times New Roman" w:hAnsi="Times New Roman"/>
          <w:sz w:val="28"/>
          <w:szCs w:val="28"/>
        </w:rPr>
        <w:t xml:space="preserve"> від 1 грудня 2017 р. № 316, та місцевими правилами приймання стічних вод до систем централізованого водовідведення населеного пункту.  </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 xml:space="preserve">39. Споживачі, на яких поширюється дія Закону України “Про публічні закупівлі”, укладають цей договір з особливостями, передбаченими Бюджетним кодексом України, Законом України “Про публічні закупівлі” та іншими нормативно-правовими актами, що регулюють сферу державних закупівель, та визначаються сторонами відповідно до додатка до цього договору, який є невід’ємною частиною цього договору. </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Для споживачів, визначених у пунктах 38 та 39, дію цього договору може бути продовжено на строк та на умовах, що передбачені нормами законодавства.</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Строк дії договору, порядок і умови внесення до нього змін,</w:t>
      </w:r>
      <w:r w:rsidRPr="00AF2C7C">
        <w:rPr>
          <w:rFonts w:ascii="Times New Roman" w:hAnsi="Times New Roman"/>
          <w:sz w:val="28"/>
          <w:szCs w:val="28"/>
        </w:rPr>
        <w:br/>
        <w:t xml:space="preserve"> продовження строку його дії та розірвання</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lastRenderedPageBreak/>
        <w:t xml:space="preserve">40. Цей договір набирає чинності з моменту його </w:t>
      </w:r>
      <w:r w:rsidR="00AF2C7C" w:rsidRPr="00AF2C7C">
        <w:rPr>
          <w:rFonts w:ascii="Times New Roman" w:hAnsi="Times New Roman"/>
          <w:sz w:val="28"/>
          <w:szCs w:val="28"/>
        </w:rPr>
        <w:t>укладе</w:t>
      </w:r>
      <w:r w:rsidRPr="00AF2C7C">
        <w:rPr>
          <w:rFonts w:ascii="Times New Roman" w:hAnsi="Times New Roman"/>
          <w:sz w:val="28"/>
          <w:szCs w:val="28"/>
        </w:rPr>
        <w:t>ння і діє протягом одного року з дати набрання чинності.</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41. Якщо за один місяць до закінчення строку дії цього договору жодна із сторін не повідомить письмово іншій стороні про відмову від договору, цей договір вважається продовженим на черговий однорічний строк.</w:t>
      </w:r>
    </w:p>
    <w:p w:rsidR="00DE294D" w:rsidRPr="00AF2C7C" w:rsidRDefault="00DE294D" w:rsidP="00AF2C7C">
      <w:pPr>
        <w:pStyle w:val="a9"/>
        <w:jc w:val="both"/>
        <w:rPr>
          <w:rFonts w:ascii="Times New Roman" w:hAnsi="Times New Roman"/>
          <w:sz w:val="28"/>
          <w:szCs w:val="28"/>
        </w:rPr>
      </w:pPr>
      <w:r w:rsidRPr="00AF2C7C">
        <w:rPr>
          <w:rFonts w:ascii="Times New Roman" w:hAnsi="Times New Roman"/>
          <w:sz w:val="28"/>
          <w:szCs w:val="28"/>
        </w:rPr>
        <w:t>42. Припинення цього договору не звільняє сторони від обов’язку виконання зобов’язань, які на дату такого припинення залишилися невиконаними, зокрема здійснення перерахунку плати за послуги в разі їх ненадання, надання не в повному обсязі, несвоєчасно або неналежної якості, здійснення остаточних нарахувань плати за послуги та остаточних розрахунків.</w:t>
      </w:r>
    </w:p>
    <w:p w:rsidR="00DE294D" w:rsidRPr="005D5D7A" w:rsidRDefault="00DE294D" w:rsidP="005D5D7A">
      <w:pPr>
        <w:pStyle w:val="a9"/>
        <w:jc w:val="center"/>
        <w:rPr>
          <w:rFonts w:ascii="Times New Roman" w:hAnsi="Times New Roman"/>
          <w:b/>
          <w:sz w:val="28"/>
          <w:szCs w:val="28"/>
        </w:rPr>
      </w:pPr>
      <w:r w:rsidRPr="005D5D7A">
        <w:rPr>
          <w:rFonts w:ascii="Times New Roman" w:hAnsi="Times New Roman"/>
          <w:b/>
          <w:sz w:val="28"/>
          <w:szCs w:val="28"/>
        </w:rPr>
        <w:t>Прикінцеві положення</w:t>
      </w:r>
    </w:p>
    <w:p w:rsidR="005758CC" w:rsidRPr="005758CC" w:rsidRDefault="00DE294D" w:rsidP="005758CC">
      <w:pPr>
        <w:pStyle w:val="a9"/>
        <w:jc w:val="both"/>
        <w:rPr>
          <w:rFonts w:ascii="Times New Roman" w:hAnsi="Times New Roman"/>
          <w:sz w:val="28"/>
          <w:szCs w:val="28"/>
        </w:rPr>
      </w:pPr>
      <w:r w:rsidRPr="00AF2C7C">
        <w:rPr>
          <w:rFonts w:ascii="Times New Roman" w:hAnsi="Times New Roman"/>
          <w:sz w:val="28"/>
          <w:szCs w:val="28"/>
        </w:rPr>
        <w:t xml:space="preserve">44. </w:t>
      </w:r>
      <w:r w:rsidR="005758CC" w:rsidRPr="005758CC">
        <w:rPr>
          <w:rFonts w:ascii="Times New Roman" w:hAnsi="Times New Roman"/>
          <w:sz w:val="28"/>
          <w:szCs w:val="28"/>
        </w:rPr>
        <w:t>Даний договір вважається укладеним через 30 днів з моменту розміщення на веб-сайті органу місцевого самоврядування: https://mpmr.gov.ua/.</w:t>
      </w:r>
    </w:p>
    <w:p w:rsidR="00DE294D" w:rsidRDefault="006008D6" w:rsidP="005758CC">
      <w:pPr>
        <w:pStyle w:val="a9"/>
        <w:jc w:val="both"/>
        <w:rPr>
          <w:rFonts w:ascii="Times New Roman" w:hAnsi="Times New Roman"/>
          <w:sz w:val="28"/>
          <w:szCs w:val="28"/>
        </w:rPr>
      </w:pPr>
      <w:r>
        <w:rPr>
          <w:rFonts w:ascii="Times New Roman" w:hAnsi="Times New Roman"/>
          <w:sz w:val="28"/>
          <w:szCs w:val="28"/>
        </w:rPr>
        <w:t>4</w:t>
      </w:r>
      <w:r w:rsidR="005758CC" w:rsidRPr="005758CC">
        <w:rPr>
          <w:rFonts w:ascii="Times New Roman" w:hAnsi="Times New Roman"/>
          <w:sz w:val="28"/>
          <w:szCs w:val="28"/>
        </w:rPr>
        <w:t xml:space="preserve">3. Виконавець має право змінити умови договору. У разі зміни виконавцем умов, крім зміни ціни договору, вони вступають в силу через 30 днів з моменту розміщення змінених умов на веб-сайті органу місцевого самоврядування: </w:t>
      </w:r>
      <w:hyperlink r:id="rId6" w:history="1">
        <w:r w:rsidRPr="008D6748">
          <w:rPr>
            <w:rStyle w:val="a6"/>
            <w:rFonts w:ascii="Times New Roman" w:hAnsi="Times New Roman"/>
            <w:sz w:val="28"/>
            <w:szCs w:val="28"/>
          </w:rPr>
          <w:t>https://mpmr.gov.ua/</w:t>
        </w:r>
      </w:hyperlink>
      <w:r>
        <w:rPr>
          <w:rFonts w:ascii="Times New Roman" w:hAnsi="Times New Roman"/>
          <w:sz w:val="28"/>
          <w:szCs w:val="28"/>
        </w:rPr>
        <w:t>.</w:t>
      </w:r>
    </w:p>
    <w:p w:rsidR="006008D6" w:rsidRPr="00AF2C7C" w:rsidRDefault="006008D6" w:rsidP="005758CC">
      <w:pPr>
        <w:pStyle w:val="a9"/>
        <w:jc w:val="both"/>
        <w:rPr>
          <w:rFonts w:ascii="Times New Roman" w:hAnsi="Times New Roman"/>
          <w:sz w:val="28"/>
          <w:szCs w:val="28"/>
        </w:rPr>
      </w:pPr>
      <w:r>
        <w:rPr>
          <w:rFonts w:ascii="Times New Roman" w:hAnsi="Times New Roman"/>
          <w:sz w:val="28"/>
          <w:szCs w:val="28"/>
        </w:rPr>
        <w:t>44.</w:t>
      </w:r>
      <w:r w:rsidRPr="006008D6">
        <w:t xml:space="preserve"> </w:t>
      </w:r>
      <w:r w:rsidRPr="006008D6">
        <w:rPr>
          <w:rFonts w:ascii="Times New Roman" w:hAnsi="Times New Roman"/>
          <w:sz w:val="28"/>
          <w:szCs w:val="28"/>
        </w:rPr>
        <w:t>Фактом приєднання споживача до умов договору (акцептування договору) є вчинення споживачем будь-яких дій, які свідчать про його бажання укласти договір, зокрема надання виконавцю підписаної заяви-приєднання (додаток до договору), сплата рахунка за надані послуги, факт отримання послуг</w:t>
      </w:r>
      <w:r>
        <w:rPr>
          <w:rFonts w:ascii="Times New Roman" w:hAnsi="Times New Roman"/>
          <w:sz w:val="28"/>
          <w:szCs w:val="28"/>
        </w:rPr>
        <w:t>.</w:t>
      </w:r>
      <w:bookmarkStart w:id="0" w:name="_GoBack"/>
      <w:bookmarkEnd w:id="0"/>
    </w:p>
    <w:p w:rsidR="00DE294D" w:rsidRPr="00005466" w:rsidRDefault="00DE294D" w:rsidP="00005466">
      <w:pPr>
        <w:pStyle w:val="a9"/>
        <w:jc w:val="center"/>
        <w:rPr>
          <w:rFonts w:ascii="Times New Roman" w:hAnsi="Times New Roman"/>
          <w:b/>
          <w:sz w:val="28"/>
          <w:szCs w:val="28"/>
        </w:rPr>
      </w:pPr>
      <w:r w:rsidRPr="00005466">
        <w:rPr>
          <w:rFonts w:ascii="Times New Roman" w:hAnsi="Times New Roman"/>
          <w:b/>
          <w:sz w:val="28"/>
          <w:szCs w:val="28"/>
        </w:rPr>
        <w:t xml:space="preserve">Реквізити </w:t>
      </w:r>
      <w:r w:rsidR="00AF2C7C" w:rsidRPr="00005466">
        <w:rPr>
          <w:rFonts w:ascii="Times New Roman" w:hAnsi="Times New Roman"/>
          <w:b/>
          <w:sz w:val="28"/>
          <w:szCs w:val="28"/>
        </w:rPr>
        <w:t>Виконавця</w:t>
      </w:r>
    </w:p>
    <w:p w:rsidR="00DE294D" w:rsidRPr="00AF2C7C" w:rsidRDefault="00DE294D" w:rsidP="00AF2C7C">
      <w:pPr>
        <w:pStyle w:val="a9"/>
        <w:jc w:val="both"/>
        <w:rPr>
          <w:rFonts w:ascii="Times New Roman" w:hAnsi="Times New Roman"/>
          <w:b/>
          <w:sz w:val="28"/>
          <w:szCs w:val="28"/>
        </w:rPr>
      </w:pPr>
    </w:p>
    <w:tbl>
      <w:tblPr>
        <w:tblW w:w="2577" w:type="pct"/>
        <w:tblLayout w:type="fixed"/>
        <w:tblLook w:val="04A0" w:firstRow="1" w:lastRow="0" w:firstColumn="1" w:lastColumn="0" w:noHBand="0" w:noVBand="1"/>
      </w:tblPr>
      <w:tblGrid>
        <w:gridCol w:w="4948"/>
        <w:gridCol w:w="311"/>
      </w:tblGrid>
      <w:tr w:rsidR="00AF2C7C" w:rsidRPr="00AF2C7C" w:rsidTr="00AF2C7C">
        <w:tc>
          <w:tcPr>
            <w:tcW w:w="4704" w:type="pct"/>
            <w:hideMark/>
          </w:tcPr>
          <w:p w:rsidR="00AF2C7C" w:rsidRPr="00AF2C7C" w:rsidRDefault="00AF2C7C" w:rsidP="00AF2C7C">
            <w:pPr>
              <w:pStyle w:val="a9"/>
              <w:jc w:val="both"/>
              <w:rPr>
                <w:rFonts w:ascii="Times New Roman" w:hAnsi="Times New Roman"/>
                <w:b/>
                <w:sz w:val="28"/>
                <w:szCs w:val="28"/>
              </w:rPr>
            </w:pPr>
            <w:r w:rsidRPr="00AF2C7C">
              <w:rPr>
                <w:rFonts w:ascii="Times New Roman" w:hAnsi="Times New Roman"/>
                <w:b/>
                <w:sz w:val="28"/>
                <w:szCs w:val="28"/>
              </w:rPr>
              <w:t>Виконавець:</w:t>
            </w:r>
          </w:p>
        </w:tc>
        <w:tc>
          <w:tcPr>
            <w:tcW w:w="296" w:type="pct"/>
          </w:tcPr>
          <w:p w:rsidR="00AF2C7C" w:rsidRPr="00AF2C7C" w:rsidRDefault="00AF2C7C" w:rsidP="00AF2C7C">
            <w:pPr>
              <w:pStyle w:val="a9"/>
              <w:jc w:val="both"/>
              <w:rPr>
                <w:rFonts w:ascii="Times New Roman" w:hAnsi="Times New Roman"/>
                <w:sz w:val="28"/>
                <w:szCs w:val="28"/>
              </w:rPr>
            </w:pPr>
          </w:p>
        </w:tc>
      </w:tr>
      <w:tr w:rsidR="00AF2C7C" w:rsidRPr="00AF2C7C" w:rsidTr="00AF2C7C">
        <w:tc>
          <w:tcPr>
            <w:tcW w:w="4704" w:type="pct"/>
          </w:tcPr>
          <w:p w:rsidR="00AF2C7C" w:rsidRPr="00AF2C7C" w:rsidRDefault="00AF2C7C" w:rsidP="00AF2C7C">
            <w:pPr>
              <w:pStyle w:val="a9"/>
              <w:jc w:val="both"/>
              <w:rPr>
                <w:rFonts w:ascii="Times New Roman" w:hAnsi="Times New Roman"/>
                <w:sz w:val="28"/>
                <w:szCs w:val="28"/>
              </w:rPr>
            </w:pPr>
            <w:r w:rsidRPr="00AF2C7C">
              <w:rPr>
                <w:rFonts w:ascii="Times New Roman" w:hAnsi="Times New Roman"/>
                <w:sz w:val="28"/>
                <w:szCs w:val="28"/>
              </w:rPr>
              <w:t>Могилів–Подільське комунальне</w:t>
            </w:r>
          </w:p>
        </w:tc>
        <w:tc>
          <w:tcPr>
            <w:tcW w:w="296" w:type="pct"/>
          </w:tcPr>
          <w:p w:rsidR="00AF2C7C" w:rsidRPr="00AF2C7C" w:rsidRDefault="00AF2C7C" w:rsidP="00AF2C7C">
            <w:pPr>
              <w:pStyle w:val="a9"/>
              <w:jc w:val="both"/>
              <w:rPr>
                <w:rFonts w:ascii="Times New Roman" w:hAnsi="Times New Roman"/>
                <w:sz w:val="28"/>
                <w:szCs w:val="28"/>
              </w:rPr>
            </w:pPr>
          </w:p>
        </w:tc>
      </w:tr>
      <w:tr w:rsidR="00AF2C7C" w:rsidRPr="00AF2C7C" w:rsidTr="00AF2C7C">
        <w:tc>
          <w:tcPr>
            <w:tcW w:w="4704" w:type="pct"/>
          </w:tcPr>
          <w:p w:rsidR="00AF2C7C" w:rsidRPr="00AF2C7C" w:rsidRDefault="00AF2C7C" w:rsidP="00AF2C7C">
            <w:pPr>
              <w:pStyle w:val="a9"/>
              <w:jc w:val="both"/>
              <w:rPr>
                <w:rFonts w:ascii="Times New Roman" w:hAnsi="Times New Roman"/>
                <w:sz w:val="28"/>
                <w:szCs w:val="28"/>
              </w:rPr>
            </w:pPr>
            <w:r w:rsidRPr="00AF2C7C">
              <w:rPr>
                <w:rFonts w:ascii="Times New Roman" w:hAnsi="Times New Roman"/>
                <w:sz w:val="28"/>
                <w:szCs w:val="28"/>
              </w:rPr>
              <w:t xml:space="preserve"> підприємство «Водоканал» </w:t>
            </w:r>
          </w:p>
        </w:tc>
        <w:tc>
          <w:tcPr>
            <w:tcW w:w="296" w:type="pct"/>
          </w:tcPr>
          <w:p w:rsidR="00AF2C7C" w:rsidRPr="00AF2C7C" w:rsidRDefault="00AF2C7C" w:rsidP="00AF2C7C">
            <w:pPr>
              <w:pStyle w:val="a9"/>
              <w:jc w:val="both"/>
              <w:rPr>
                <w:rFonts w:ascii="Times New Roman" w:hAnsi="Times New Roman"/>
                <w:sz w:val="28"/>
                <w:szCs w:val="28"/>
              </w:rPr>
            </w:pPr>
          </w:p>
        </w:tc>
      </w:tr>
      <w:tr w:rsidR="00AF2C7C" w:rsidRPr="00AF2C7C" w:rsidTr="00AF2C7C">
        <w:tc>
          <w:tcPr>
            <w:tcW w:w="4704" w:type="pct"/>
            <w:hideMark/>
          </w:tcPr>
          <w:p w:rsidR="00AF2C7C" w:rsidRPr="00AF2C7C" w:rsidRDefault="00AF2C7C" w:rsidP="00AF2C7C">
            <w:pPr>
              <w:pStyle w:val="a9"/>
              <w:jc w:val="both"/>
              <w:rPr>
                <w:rFonts w:ascii="Times New Roman" w:hAnsi="Times New Roman"/>
                <w:sz w:val="28"/>
                <w:szCs w:val="28"/>
              </w:rPr>
            </w:pPr>
            <w:r w:rsidRPr="00AF2C7C">
              <w:rPr>
                <w:rFonts w:ascii="Times New Roman" w:hAnsi="Times New Roman"/>
                <w:sz w:val="28"/>
                <w:szCs w:val="28"/>
              </w:rPr>
              <w:t xml:space="preserve">24000 Вінницька  область, вул. Академіка </w:t>
            </w:r>
          </w:p>
        </w:tc>
        <w:tc>
          <w:tcPr>
            <w:tcW w:w="296" w:type="pct"/>
          </w:tcPr>
          <w:p w:rsidR="00AF2C7C" w:rsidRPr="00AF2C7C" w:rsidRDefault="00AF2C7C" w:rsidP="00AF2C7C">
            <w:pPr>
              <w:pStyle w:val="a9"/>
              <w:jc w:val="both"/>
              <w:rPr>
                <w:rFonts w:ascii="Times New Roman" w:hAnsi="Times New Roman"/>
                <w:sz w:val="28"/>
                <w:szCs w:val="28"/>
              </w:rPr>
            </w:pPr>
          </w:p>
        </w:tc>
      </w:tr>
      <w:tr w:rsidR="00AF2C7C" w:rsidRPr="00AF2C7C" w:rsidTr="00AF2C7C">
        <w:tc>
          <w:tcPr>
            <w:tcW w:w="4704" w:type="pct"/>
          </w:tcPr>
          <w:p w:rsidR="00AF2C7C" w:rsidRPr="00AF2C7C" w:rsidRDefault="00AF2C7C" w:rsidP="00AF2C7C">
            <w:pPr>
              <w:pStyle w:val="a9"/>
              <w:jc w:val="both"/>
              <w:rPr>
                <w:rFonts w:ascii="Times New Roman" w:hAnsi="Times New Roman"/>
                <w:sz w:val="28"/>
                <w:szCs w:val="28"/>
              </w:rPr>
            </w:pPr>
            <w:r w:rsidRPr="00AF2C7C">
              <w:rPr>
                <w:rFonts w:ascii="Times New Roman" w:hAnsi="Times New Roman"/>
                <w:sz w:val="28"/>
                <w:szCs w:val="28"/>
              </w:rPr>
              <w:t xml:space="preserve">Заболотного, 19  , Телефон:6-50-72 </w:t>
            </w:r>
          </w:p>
        </w:tc>
        <w:tc>
          <w:tcPr>
            <w:tcW w:w="296" w:type="pct"/>
          </w:tcPr>
          <w:p w:rsidR="00AF2C7C" w:rsidRPr="00AF2C7C" w:rsidRDefault="00AF2C7C" w:rsidP="00AF2C7C">
            <w:pPr>
              <w:pStyle w:val="a9"/>
              <w:jc w:val="both"/>
              <w:rPr>
                <w:rFonts w:ascii="Times New Roman" w:hAnsi="Times New Roman"/>
                <w:sz w:val="28"/>
                <w:szCs w:val="28"/>
              </w:rPr>
            </w:pPr>
          </w:p>
        </w:tc>
      </w:tr>
      <w:tr w:rsidR="00AF2C7C" w:rsidRPr="00AF2C7C" w:rsidTr="00AF2C7C">
        <w:tc>
          <w:tcPr>
            <w:tcW w:w="4704" w:type="pct"/>
          </w:tcPr>
          <w:p w:rsidR="00AF2C7C" w:rsidRPr="00AF2C7C" w:rsidRDefault="00AF2C7C" w:rsidP="00AF2C7C">
            <w:pPr>
              <w:pStyle w:val="a9"/>
              <w:jc w:val="both"/>
              <w:rPr>
                <w:rFonts w:ascii="Times New Roman" w:hAnsi="Times New Roman"/>
                <w:sz w:val="28"/>
                <w:szCs w:val="28"/>
              </w:rPr>
            </w:pPr>
            <w:r w:rsidRPr="00AF2C7C">
              <w:rPr>
                <w:rFonts w:ascii="Times New Roman" w:hAnsi="Times New Roman"/>
                <w:sz w:val="28"/>
                <w:szCs w:val="28"/>
              </w:rPr>
              <w:t>р/р в АТ КБ «Приватбанк» UA573052990000026006006101632</w:t>
            </w:r>
          </w:p>
        </w:tc>
        <w:tc>
          <w:tcPr>
            <w:tcW w:w="296" w:type="pct"/>
          </w:tcPr>
          <w:p w:rsidR="00AF2C7C" w:rsidRPr="00AF2C7C" w:rsidRDefault="00AF2C7C" w:rsidP="00AF2C7C">
            <w:pPr>
              <w:pStyle w:val="a9"/>
              <w:jc w:val="both"/>
              <w:rPr>
                <w:rFonts w:ascii="Times New Roman" w:hAnsi="Times New Roman"/>
                <w:sz w:val="28"/>
                <w:szCs w:val="28"/>
              </w:rPr>
            </w:pPr>
          </w:p>
        </w:tc>
      </w:tr>
      <w:tr w:rsidR="00AF2C7C" w:rsidRPr="00AF2C7C" w:rsidTr="00AF2C7C">
        <w:tc>
          <w:tcPr>
            <w:tcW w:w="4704" w:type="pct"/>
          </w:tcPr>
          <w:p w:rsidR="00AF2C7C" w:rsidRPr="00AF2C7C" w:rsidRDefault="00AF2C7C" w:rsidP="00AF2C7C">
            <w:pPr>
              <w:pStyle w:val="a9"/>
              <w:jc w:val="both"/>
              <w:rPr>
                <w:rFonts w:ascii="Times New Roman" w:hAnsi="Times New Roman"/>
                <w:sz w:val="28"/>
                <w:szCs w:val="28"/>
              </w:rPr>
            </w:pPr>
            <w:r w:rsidRPr="00AF2C7C">
              <w:rPr>
                <w:rFonts w:ascii="Times New Roman" w:hAnsi="Times New Roman"/>
                <w:sz w:val="28"/>
                <w:szCs w:val="28"/>
              </w:rPr>
              <w:t>МФО 305299</w:t>
            </w:r>
          </w:p>
        </w:tc>
        <w:tc>
          <w:tcPr>
            <w:tcW w:w="296" w:type="pct"/>
          </w:tcPr>
          <w:p w:rsidR="00AF2C7C" w:rsidRPr="00AF2C7C" w:rsidRDefault="00AF2C7C" w:rsidP="00AF2C7C">
            <w:pPr>
              <w:pStyle w:val="a9"/>
              <w:jc w:val="both"/>
              <w:rPr>
                <w:rFonts w:ascii="Times New Roman" w:hAnsi="Times New Roman"/>
                <w:sz w:val="28"/>
                <w:szCs w:val="28"/>
              </w:rPr>
            </w:pPr>
          </w:p>
        </w:tc>
      </w:tr>
      <w:tr w:rsidR="00AF2C7C" w:rsidRPr="00AF2C7C" w:rsidTr="00AF2C7C">
        <w:tc>
          <w:tcPr>
            <w:tcW w:w="4704" w:type="pct"/>
          </w:tcPr>
          <w:p w:rsidR="00AF2C7C" w:rsidRPr="00AF2C7C" w:rsidRDefault="00AF2C7C" w:rsidP="00AF2C7C">
            <w:pPr>
              <w:pStyle w:val="a9"/>
              <w:jc w:val="both"/>
              <w:rPr>
                <w:rFonts w:ascii="Times New Roman" w:hAnsi="Times New Roman"/>
                <w:sz w:val="28"/>
                <w:szCs w:val="28"/>
              </w:rPr>
            </w:pPr>
            <w:r w:rsidRPr="00AF2C7C">
              <w:rPr>
                <w:rFonts w:ascii="Times New Roman" w:hAnsi="Times New Roman"/>
                <w:sz w:val="28"/>
                <w:szCs w:val="28"/>
              </w:rPr>
              <w:t>КОД  ЄДРПОУ 03338202</w:t>
            </w:r>
          </w:p>
        </w:tc>
        <w:tc>
          <w:tcPr>
            <w:tcW w:w="296" w:type="pct"/>
          </w:tcPr>
          <w:p w:rsidR="00AF2C7C" w:rsidRPr="00AF2C7C" w:rsidRDefault="00AF2C7C" w:rsidP="00AF2C7C">
            <w:pPr>
              <w:pStyle w:val="a9"/>
              <w:jc w:val="both"/>
              <w:rPr>
                <w:rFonts w:ascii="Times New Roman" w:hAnsi="Times New Roman"/>
                <w:sz w:val="28"/>
                <w:szCs w:val="28"/>
              </w:rPr>
            </w:pPr>
          </w:p>
        </w:tc>
      </w:tr>
      <w:tr w:rsidR="00AF2C7C" w:rsidRPr="00AF2C7C" w:rsidTr="00AF2C7C">
        <w:tc>
          <w:tcPr>
            <w:tcW w:w="4704" w:type="pct"/>
          </w:tcPr>
          <w:p w:rsidR="00AF2C7C" w:rsidRPr="00AF2C7C" w:rsidRDefault="00AF2C7C" w:rsidP="00AF2C7C">
            <w:pPr>
              <w:pStyle w:val="a9"/>
              <w:jc w:val="both"/>
              <w:rPr>
                <w:rFonts w:ascii="Times New Roman" w:hAnsi="Times New Roman"/>
                <w:sz w:val="28"/>
                <w:szCs w:val="28"/>
              </w:rPr>
            </w:pPr>
            <w:proofErr w:type="spellStart"/>
            <w:r w:rsidRPr="00AF2C7C">
              <w:rPr>
                <w:rFonts w:ascii="Times New Roman" w:hAnsi="Times New Roman"/>
                <w:sz w:val="28"/>
                <w:szCs w:val="28"/>
              </w:rPr>
              <w:t>Директор_________Сергій</w:t>
            </w:r>
            <w:proofErr w:type="spellEnd"/>
            <w:r w:rsidRPr="00AF2C7C">
              <w:rPr>
                <w:rFonts w:ascii="Times New Roman" w:hAnsi="Times New Roman"/>
                <w:sz w:val="28"/>
                <w:szCs w:val="28"/>
              </w:rPr>
              <w:t xml:space="preserve"> РИБАК</w:t>
            </w:r>
          </w:p>
        </w:tc>
        <w:tc>
          <w:tcPr>
            <w:tcW w:w="296" w:type="pct"/>
          </w:tcPr>
          <w:p w:rsidR="00AF2C7C" w:rsidRPr="00AF2C7C" w:rsidRDefault="00AF2C7C" w:rsidP="00AF2C7C">
            <w:pPr>
              <w:pStyle w:val="a9"/>
              <w:jc w:val="both"/>
              <w:rPr>
                <w:rFonts w:ascii="Times New Roman" w:hAnsi="Times New Roman"/>
                <w:sz w:val="28"/>
                <w:szCs w:val="28"/>
              </w:rPr>
            </w:pPr>
          </w:p>
        </w:tc>
      </w:tr>
    </w:tbl>
    <w:p w:rsidR="00521169" w:rsidRPr="00AF2C7C" w:rsidRDefault="006008D6" w:rsidP="00AF2C7C">
      <w:pPr>
        <w:pStyle w:val="a9"/>
        <w:jc w:val="both"/>
        <w:rPr>
          <w:rFonts w:ascii="Times New Roman" w:hAnsi="Times New Roman"/>
          <w:sz w:val="28"/>
          <w:szCs w:val="28"/>
        </w:rPr>
      </w:pPr>
    </w:p>
    <w:p w:rsidR="00744E5F" w:rsidRPr="00AF2C7C" w:rsidRDefault="00744E5F" w:rsidP="00AF2C7C">
      <w:pPr>
        <w:pStyle w:val="a9"/>
        <w:jc w:val="both"/>
        <w:rPr>
          <w:rFonts w:ascii="Times New Roman" w:hAnsi="Times New Roman"/>
          <w:sz w:val="28"/>
          <w:szCs w:val="28"/>
        </w:rPr>
      </w:pPr>
    </w:p>
    <w:p w:rsidR="00744E5F" w:rsidRPr="00AF2C7C" w:rsidRDefault="00744E5F" w:rsidP="00AF2C7C">
      <w:pPr>
        <w:pStyle w:val="a9"/>
        <w:jc w:val="both"/>
        <w:rPr>
          <w:rFonts w:ascii="Times New Roman" w:hAnsi="Times New Roman"/>
          <w:sz w:val="28"/>
          <w:szCs w:val="28"/>
        </w:rPr>
      </w:pPr>
    </w:p>
    <w:p w:rsidR="00744E5F" w:rsidRPr="00AF2C7C" w:rsidRDefault="00744E5F" w:rsidP="00AF2C7C">
      <w:pPr>
        <w:pStyle w:val="a9"/>
        <w:jc w:val="both"/>
        <w:rPr>
          <w:rFonts w:ascii="Times New Roman" w:hAnsi="Times New Roman"/>
          <w:sz w:val="28"/>
          <w:szCs w:val="28"/>
        </w:rPr>
      </w:pPr>
    </w:p>
    <w:p w:rsidR="00744E5F" w:rsidRPr="00AF2C7C" w:rsidRDefault="00744E5F" w:rsidP="00AF2C7C">
      <w:pPr>
        <w:pStyle w:val="a9"/>
        <w:jc w:val="both"/>
        <w:rPr>
          <w:rFonts w:ascii="Times New Roman" w:hAnsi="Times New Roman"/>
          <w:sz w:val="28"/>
          <w:szCs w:val="28"/>
        </w:rPr>
      </w:pPr>
    </w:p>
    <w:p w:rsidR="00744E5F" w:rsidRPr="00AF2C7C" w:rsidRDefault="00744E5F" w:rsidP="00AF2C7C">
      <w:pPr>
        <w:pStyle w:val="a9"/>
        <w:jc w:val="both"/>
        <w:rPr>
          <w:rFonts w:ascii="Times New Roman" w:hAnsi="Times New Roman"/>
          <w:sz w:val="28"/>
          <w:szCs w:val="28"/>
        </w:rPr>
      </w:pPr>
    </w:p>
    <w:p w:rsidR="00744E5F" w:rsidRPr="00AF2C7C" w:rsidRDefault="00744E5F" w:rsidP="00AF2C7C">
      <w:pPr>
        <w:pStyle w:val="a9"/>
        <w:jc w:val="both"/>
        <w:rPr>
          <w:rFonts w:ascii="Times New Roman" w:hAnsi="Times New Roman"/>
          <w:sz w:val="28"/>
          <w:szCs w:val="28"/>
        </w:rPr>
      </w:pPr>
    </w:p>
    <w:p w:rsidR="00744E5F" w:rsidRPr="00AF2C7C" w:rsidRDefault="00744E5F" w:rsidP="00AF2C7C">
      <w:pPr>
        <w:pStyle w:val="a9"/>
        <w:jc w:val="both"/>
        <w:rPr>
          <w:rFonts w:ascii="Times New Roman" w:hAnsi="Times New Roman"/>
          <w:sz w:val="28"/>
          <w:szCs w:val="28"/>
        </w:rPr>
      </w:pPr>
    </w:p>
    <w:p w:rsidR="00744E5F" w:rsidRPr="00AF2C7C" w:rsidRDefault="00744E5F" w:rsidP="00AF2C7C">
      <w:pPr>
        <w:pStyle w:val="a9"/>
        <w:jc w:val="both"/>
        <w:rPr>
          <w:rFonts w:ascii="Times New Roman" w:hAnsi="Times New Roman"/>
          <w:sz w:val="28"/>
          <w:szCs w:val="28"/>
        </w:rPr>
      </w:pPr>
    </w:p>
    <w:p w:rsidR="00744E5F" w:rsidRPr="00AF2C7C" w:rsidRDefault="00744E5F" w:rsidP="00AF2C7C">
      <w:pPr>
        <w:pStyle w:val="a9"/>
        <w:jc w:val="both"/>
        <w:rPr>
          <w:rFonts w:ascii="Times New Roman" w:hAnsi="Times New Roman"/>
          <w:sz w:val="28"/>
          <w:szCs w:val="28"/>
        </w:rPr>
      </w:pPr>
    </w:p>
    <w:p w:rsidR="004F7C72" w:rsidRPr="00AF2C7C" w:rsidRDefault="004F7C72" w:rsidP="00AF2C7C">
      <w:pPr>
        <w:pStyle w:val="a9"/>
        <w:jc w:val="both"/>
        <w:rPr>
          <w:rFonts w:ascii="Times New Roman" w:hAnsi="Times New Roman"/>
          <w:sz w:val="28"/>
          <w:szCs w:val="28"/>
        </w:rPr>
      </w:pPr>
    </w:p>
    <w:p w:rsidR="00005466" w:rsidRDefault="00005466" w:rsidP="00AF2C7C">
      <w:pPr>
        <w:pStyle w:val="a9"/>
        <w:jc w:val="both"/>
        <w:rPr>
          <w:rFonts w:ascii="Times New Roman" w:hAnsi="Times New Roman"/>
          <w:sz w:val="28"/>
          <w:szCs w:val="28"/>
        </w:rPr>
      </w:pPr>
    </w:p>
    <w:p w:rsidR="00005466" w:rsidRDefault="00005466" w:rsidP="00AF2C7C">
      <w:pPr>
        <w:pStyle w:val="a9"/>
        <w:jc w:val="both"/>
        <w:rPr>
          <w:rFonts w:ascii="Times New Roman" w:hAnsi="Times New Roman"/>
          <w:sz w:val="28"/>
          <w:szCs w:val="28"/>
        </w:rPr>
      </w:pPr>
    </w:p>
    <w:sectPr w:rsidR="00005466" w:rsidSect="00AF2C7C">
      <w:pgSz w:w="11906" w:h="16838"/>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tiqua">
    <w:altName w:val="Sitka Smal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94D"/>
    <w:rsid w:val="00005466"/>
    <w:rsid w:val="00206771"/>
    <w:rsid w:val="003E74C4"/>
    <w:rsid w:val="004F0F3F"/>
    <w:rsid w:val="004F7C72"/>
    <w:rsid w:val="005758CC"/>
    <w:rsid w:val="005A6374"/>
    <w:rsid w:val="005D5D7A"/>
    <w:rsid w:val="006008D6"/>
    <w:rsid w:val="006115DE"/>
    <w:rsid w:val="00615D78"/>
    <w:rsid w:val="00643603"/>
    <w:rsid w:val="00744E5F"/>
    <w:rsid w:val="007C0A41"/>
    <w:rsid w:val="00A7096F"/>
    <w:rsid w:val="00AA1836"/>
    <w:rsid w:val="00AF2C7C"/>
    <w:rsid w:val="00C83CF0"/>
    <w:rsid w:val="00DE294D"/>
    <w:rsid w:val="00FF2F0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D2B93"/>
  <w15:docId w15:val="{1030DEE7-B36F-4DB8-94D8-FC1DA5880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E294D"/>
    <w:rPr>
      <w:rFonts w:eastAsia="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ий текст"/>
    <w:basedOn w:val="a"/>
    <w:uiPriority w:val="99"/>
    <w:rsid w:val="00DE294D"/>
    <w:pPr>
      <w:spacing w:before="120" w:after="0" w:line="240" w:lineRule="auto"/>
      <w:ind w:firstLine="567"/>
    </w:pPr>
    <w:rPr>
      <w:rFonts w:ascii="Antiqua" w:hAnsi="Antiqua"/>
      <w:sz w:val="26"/>
      <w:szCs w:val="20"/>
      <w:lang w:eastAsia="ru-RU"/>
    </w:rPr>
  </w:style>
  <w:style w:type="character" w:customStyle="1" w:styleId="st131">
    <w:name w:val="st131"/>
    <w:uiPriority w:val="99"/>
    <w:rsid w:val="00744E5F"/>
    <w:rPr>
      <w:i/>
      <w:iCs/>
      <w:color w:val="0000FF"/>
    </w:rPr>
  </w:style>
  <w:style w:type="character" w:customStyle="1" w:styleId="st46">
    <w:name w:val="st46"/>
    <w:uiPriority w:val="99"/>
    <w:rsid w:val="00744E5F"/>
    <w:rPr>
      <w:i/>
      <w:iCs/>
      <w:color w:val="000000"/>
    </w:rPr>
  </w:style>
  <w:style w:type="paragraph" w:styleId="a4">
    <w:name w:val="footer"/>
    <w:basedOn w:val="a"/>
    <w:link w:val="a5"/>
    <w:uiPriority w:val="99"/>
    <w:semiHidden/>
    <w:unhideWhenUsed/>
    <w:rsid w:val="004F7C72"/>
    <w:pPr>
      <w:tabs>
        <w:tab w:val="center" w:pos="4153"/>
        <w:tab w:val="right" w:pos="8306"/>
      </w:tabs>
      <w:spacing w:after="0" w:line="240" w:lineRule="auto"/>
    </w:pPr>
    <w:rPr>
      <w:rFonts w:ascii="Antiqua" w:hAnsi="Antiqua"/>
      <w:sz w:val="26"/>
      <w:szCs w:val="20"/>
      <w:lang w:eastAsia="ru-RU"/>
    </w:rPr>
  </w:style>
  <w:style w:type="character" w:customStyle="1" w:styleId="a5">
    <w:name w:val="Нижній колонтитул Знак"/>
    <w:basedOn w:val="a0"/>
    <w:link w:val="a4"/>
    <w:uiPriority w:val="99"/>
    <w:semiHidden/>
    <w:rsid w:val="004F7C72"/>
    <w:rPr>
      <w:rFonts w:ascii="Antiqua" w:eastAsia="Times New Roman" w:hAnsi="Antiqua" w:cs="Times New Roman"/>
      <w:sz w:val="26"/>
      <w:szCs w:val="20"/>
      <w:lang w:eastAsia="ru-RU"/>
    </w:rPr>
  </w:style>
  <w:style w:type="character" w:styleId="a6">
    <w:name w:val="Hyperlink"/>
    <w:basedOn w:val="a0"/>
    <w:uiPriority w:val="99"/>
    <w:unhideWhenUsed/>
    <w:rsid w:val="004F7C72"/>
    <w:rPr>
      <w:color w:val="0000FF"/>
      <w:u w:val="single"/>
    </w:rPr>
  </w:style>
  <w:style w:type="character" w:styleId="a7">
    <w:name w:val="FollowedHyperlink"/>
    <w:basedOn w:val="a0"/>
    <w:uiPriority w:val="99"/>
    <w:semiHidden/>
    <w:unhideWhenUsed/>
    <w:rsid w:val="004F7C72"/>
    <w:rPr>
      <w:color w:val="800080" w:themeColor="followedHyperlink"/>
      <w:u w:val="single"/>
    </w:rPr>
  </w:style>
  <w:style w:type="character" w:customStyle="1" w:styleId="st42">
    <w:name w:val="st42"/>
    <w:uiPriority w:val="99"/>
    <w:rsid w:val="00643603"/>
    <w:rPr>
      <w:color w:val="000000"/>
    </w:rPr>
  </w:style>
  <w:style w:type="character" w:styleId="a8">
    <w:name w:val="Unresolved Mention"/>
    <w:basedOn w:val="a0"/>
    <w:uiPriority w:val="99"/>
    <w:semiHidden/>
    <w:unhideWhenUsed/>
    <w:rsid w:val="00AF2C7C"/>
    <w:rPr>
      <w:color w:val="605E5C"/>
      <w:shd w:val="clear" w:color="auto" w:fill="E1DFDD"/>
    </w:rPr>
  </w:style>
  <w:style w:type="paragraph" w:styleId="a9">
    <w:name w:val="No Spacing"/>
    <w:uiPriority w:val="1"/>
    <w:qFormat/>
    <w:rsid w:val="00AF2C7C"/>
    <w:pPr>
      <w:spacing w:after="0" w:line="240" w:lineRule="auto"/>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9802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mpmr.gov.ua/" TargetMode="External"/><Relationship Id="rId5" Type="http://schemas.openxmlformats.org/officeDocument/2006/relationships/hyperlink" Target="https://mpmr.gov.ua/" TargetMode="External"/><Relationship Id="rId4" Type="http://schemas.openxmlformats.org/officeDocument/2006/relationships/hyperlink" Target="https://mpmr.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4386</Words>
  <Characters>25006</Characters>
  <Application>Microsoft Office Word</Application>
  <DocSecurity>0</DocSecurity>
  <Lines>208</Lines>
  <Paragraphs>58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29334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HP</cp:lastModifiedBy>
  <cp:revision>4</cp:revision>
  <dcterms:created xsi:type="dcterms:W3CDTF">2024-02-06T13:52:00Z</dcterms:created>
  <dcterms:modified xsi:type="dcterms:W3CDTF">2024-02-06T13:56:00Z</dcterms:modified>
</cp:coreProperties>
</file>