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E72" w:rsidRPr="00EE1E72" w:rsidRDefault="00EE1E72" w:rsidP="00EE1E72">
      <w:pPr>
        <w:pStyle w:val="rvps7"/>
        <w:shd w:val="clear" w:color="auto" w:fill="FFFFFF"/>
        <w:spacing w:before="71" w:beforeAutospacing="0" w:after="71" w:afterAutospacing="0"/>
        <w:ind w:left="214" w:right="214"/>
        <w:jc w:val="center"/>
        <w:rPr>
          <w:color w:val="333333"/>
        </w:rPr>
      </w:pPr>
      <w:r w:rsidRPr="00EE1E72">
        <w:rPr>
          <w:rStyle w:val="rvts15"/>
          <w:b/>
          <w:bCs/>
          <w:color w:val="333333"/>
        </w:rPr>
        <w:t>ПЕРЕЛІК</w:t>
      </w:r>
      <w:r w:rsidRPr="00EE1E72">
        <w:rPr>
          <w:color w:val="333333"/>
        </w:rPr>
        <w:br/>
      </w:r>
      <w:r w:rsidRPr="00EE1E72">
        <w:rPr>
          <w:rStyle w:val="rvts15"/>
          <w:b/>
          <w:bCs/>
          <w:color w:val="333333"/>
        </w:rPr>
        <w:t>категорій за цільовим призначенням об’єктів оренди</w:t>
      </w:r>
    </w:p>
    <w:tbl>
      <w:tblPr>
        <w:tblW w:w="5000" w:type="pct"/>
        <w:tblCellMar>
          <w:top w:w="69" w:type="dxa"/>
          <w:left w:w="69" w:type="dxa"/>
          <w:bottom w:w="69" w:type="dxa"/>
          <w:right w:w="69" w:type="dxa"/>
        </w:tblCellMar>
        <w:tblLook w:val="04A0"/>
      </w:tblPr>
      <w:tblGrid>
        <w:gridCol w:w="1061"/>
        <w:gridCol w:w="8432"/>
      </w:tblGrid>
      <w:tr w:rsidR="00EE1E72" w:rsidRPr="00EE1E72" w:rsidTr="00AA2C64">
        <w:trPr>
          <w:trHeight w:val="17"/>
        </w:trPr>
        <w:tc>
          <w:tcPr>
            <w:tcW w:w="1062" w:type="dxa"/>
            <w:hideMark/>
          </w:tcPr>
          <w:p w:rsidR="00EE1E72" w:rsidRPr="00EE1E72" w:rsidRDefault="00EE1E72" w:rsidP="00AA2C64">
            <w:pPr>
              <w:pStyle w:val="rvps12"/>
              <w:spacing w:before="71" w:beforeAutospacing="0" w:after="71" w:afterAutospacing="0" w:line="17" w:lineRule="atLeast"/>
              <w:jc w:val="center"/>
            </w:pPr>
            <w:bookmarkStart w:id="0" w:name="n807"/>
            <w:bookmarkEnd w:id="0"/>
            <w:r w:rsidRPr="00EE1E72">
              <w:t>Номер категорії</w:t>
            </w:r>
          </w:p>
        </w:tc>
        <w:tc>
          <w:tcPr>
            <w:tcW w:w="8788" w:type="dxa"/>
            <w:hideMark/>
          </w:tcPr>
          <w:p w:rsidR="00EE1E72" w:rsidRPr="00EE1E72" w:rsidRDefault="00EE1E72" w:rsidP="00AA2C64">
            <w:pPr>
              <w:pStyle w:val="rvps12"/>
              <w:spacing w:before="71" w:beforeAutospacing="0" w:after="71" w:afterAutospacing="0" w:line="17" w:lineRule="atLeast"/>
              <w:jc w:val="center"/>
            </w:pPr>
            <w:r w:rsidRPr="00EE1E72">
              <w:t>Назва категорії</w:t>
            </w:r>
          </w:p>
        </w:tc>
      </w:tr>
      <w:tr w:rsidR="00EE1E72" w:rsidRPr="00EE1E72" w:rsidTr="00AA2C64">
        <w:trPr>
          <w:trHeight w:val="17"/>
        </w:trPr>
        <w:tc>
          <w:tcPr>
            <w:tcW w:w="9850" w:type="dxa"/>
            <w:gridSpan w:val="2"/>
            <w:hideMark/>
          </w:tcPr>
          <w:p w:rsidR="00EE1E72" w:rsidRPr="00EE1E72" w:rsidRDefault="00EE1E72" w:rsidP="00AA2C64">
            <w:pPr>
              <w:pStyle w:val="rvps12"/>
              <w:spacing w:before="71" w:beforeAutospacing="0" w:after="71" w:afterAutospacing="0" w:line="17" w:lineRule="atLeast"/>
              <w:jc w:val="center"/>
            </w:pPr>
            <w:r w:rsidRPr="00EE1E72">
              <w:t>Для нерухомого майна, якщо потенційним орендарем є суб’єкт, передбачений </w:t>
            </w:r>
            <w:hyperlink r:id="rId4" w:anchor="n299" w:tgtFrame="_blank" w:history="1">
              <w:r w:rsidRPr="00EE1E72">
                <w:rPr>
                  <w:rStyle w:val="a3"/>
                  <w:color w:val="000099"/>
                </w:rPr>
                <w:t>статтею 15</w:t>
              </w:r>
            </w:hyperlink>
            <w:r w:rsidRPr="00EE1E72">
              <w:t xml:space="preserve"> Закону України </w:t>
            </w:r>
            <w:proofErr w:type="spellStart"/>
            <w:r w:rsidRPr="00EE1E72">
              <w:t>“Про</w:t>
            </w:r>
            <w:proofErr w:type="spellEnd"/>
            <w:r w:rsidRPr="00EE1E72">
              <w:t xml:space="preserve"> оренду державного та комунального </w:t>
            </w:r>
            <w:proofErr w:type="spellStart"/>
            <w:r w:rsidRPr="00EE1E72">
              <w:t>майна”</w:t>
            </w:r>
            <w:proofErr w:type="spellEnd"/>
          </w:p>
        </w:tc>
      </w:tr>
      <w:tr w:rsidR="00EE1E72" w:rsidRPr="00EE1E72" w:rsidTr="00AA2C64">
        <w:trPr>
          <w:trHeight w:val="17"/>
        </w:trPr>
        <w:tc>
          <w:tcPr>
            <w:tcW w:w="1062" w:type="dxa"/>
            <w:hideMark/>
          </w:tcPr>
          <w:p w:rsidR="00EE1E72" w:rsidRPr="00EE1E72" w:rsidRDefault="00EE1E72" w:rsidP="00AA2C64">
            <w:pPr>
              <w:pStyle w:val="rvps12"/>
              <w:spacing w:before="71" w:beforeAutospacing="0" w:after="71" w:afterAutospacing="0" w:line="17" w:lineRule="atLeast"/>
              <w:jc w:val="center"/>
            </w:pPr>
            <w:r w:rsidRPr="00EE1E72">
              <w:t>1</w:t>
            </w:r>
          </w:p>
        </w:tc>
        <w:tc>
          <w:tcPr>
            <w:tcW w:w="8788" w:type="dxa"/>
            <w:hideMark/>
          </w:tcPr>
          <w:p w:rsidR="00EE1E72" w:rsidRPr="00EE1E72" w:rsidRDefault="00EE1E72" w:rsidP="00AA2C64">
            <w:pPr>
              <w:pStyle w:val="rvps14"/>
              <w:spacing w:before="71" w:beforeAutospacing="0" w:after="71" w:afterAutospacing="0" w:line="17" w:lineRule="atLeast"/>
              <w:jc w:val="both"/>
            </w:pPr>
            <w:r w:rsidRPr="00EE1E72">
              <w:t>Органи державної влади та органи місцевого самоврядування, інші установи і організації, діяльність яких фінансується за рахунок державного або місцевих бюджетів</w:t>
            </w:r>
          </w:p>
        </w:tc>
      </w:tr>
      <w:tr w:rsidR="00EE1E72" w:rsidRPr="00EE1E72" w:rsidTr="00AA2C64">
        <w:trPr>
          <w:trHeight w:val="17"/>
        </w:trPr>
        <w:tc>
          <w:tcPr>
            <w:tcW w:w="1062" w:type="dxa"/>
            <w:hideMark/>
          </w:tcPr>
          <w:p w:rsidR="00EE1E72" w:rsidRPr="00EE1E72" w:rsidRDefault="00EE1E72" w:rsidP="00AA2C64">
            <w:pPr>
              <w:pStyle w:val="rvps12"/>
              <w:spacing w:before="71" w:beforeAutospacing="0" w:after="71" w:afterAutospacing="0" w:line="17" w:lineRule="atLeast"/>
              <w:jc w:val="center"/>
            </w:pPr>
            <w:r w:rsidRPr="00EE1E72">
              <w:t>2</w:t>
            </w:r>
          </w:p>
        </w:tc>
        <w:tc>
          <w:tcPr>
            <w:tcW w:w="8788" w:type="dxa"/>
            <w:hideMark/>
          </w:tcPr>
          <w:p w:rsidR="00EE1E72" w:rsidRPr="00EE1E72" w:rsidRDefault="00EE1E72" w:rsidP="00AA2C64">
            <w:pPr>
              <w:pStyle w:val="rvps14"/>
              <w:spacing w:before="71" w:beforeAutospacing="0" w:after="71" w:afterAutospacing="0" w:line="17" w:lineRule="atLeast"/>
              <w:jc w:val="both"/>
            </w:pPr>
            <w:r w:rsidRPr="00EE1E72">
              <w:t>Пенсійний фонд України та його органи</w:t>
            </w:r>
          </w:p>
        </w:tc>
      </w:tr>
      <w:tr w:rsidR="00EE1E72" w:rsidRPr="00EE1E72" w:rsidTr="00AA2C64">
        <w:trPr>
          <w:trHeight w:val="17"/>
        </w:trPr>
        <w:tc>
          <w:tcPr>
            <w:tcW w:w="1062" w:type="dxa"/>
            <w:hideMark/>
          </w:tcPr>
          <w:p w:rsidR="00EE1E72" w:rsidRPr="00EE1E72" w:rsidRDefault="00EE1E72" w:rsidP="00AA2C64">
            <w:pPr>
              <w:pStyle w:val="rvps12"/>
              <w:spacing w:before="71" w:beforeAutospacing="0" w:after="71" w:afterAutospacing="0" w:line="17" w:lineRule="atLeast"/>
              <w:jc w:val="center"/>
            </w:pPr>
            <w:r w:rsidRPr="00EE1E72">
              <w:t>3</w:t>
            </w:r>
          </w:p>
        </w:tc>
        <w:tc>
          <w:tcPr>
            <w:tcW w:w="8788" w:type="dxa"/>
            <w:hideMark/>
          </w:tcPr>
          <w:p w:rsidR="00EE1E72" w:rsidRPr="00EE1E72" w:rsidRDefault="00EE1E72" w:rsidP="00AA2C64">
            <w:pPr>
              <w:pStyle w:val="rvps14"/>
              <w:spacing w:before="71" w:beforeAutospacing="0" w:after="71" w:afterAutospacing="0" w:line="17" w:lineRule="atLeast"/>
              <w:jc w:val="both"/>
            </w:pPr>
            <w:r w:rsidRPr="00EE1E72">
              <w:t>Державні та комунальні підприємства, установи, організації у сфері культури і мистецтв</w:t>
            </w:r>
          </w:p>
        </w:tc>
      </w:tr>
      <w:tr w:rsidR="00EE1E72" w:rsidRPr="00EE1E72" w:rsidTr="00AA2C64">
        <w:trPr>
          <w:trHeight w:val="17"/>
        </w:trPr>
        <w:tc>
          <w:tcPr>
            <w:tcW w:w="1062" w:type="dxa"/>
            <w:hideMark/>
          </w:tcPr>
          <w:p w:rsidR="00EE1E72" w:rsidRPr="00EE1E72" w:rsidRDefault="00EE1E72" w:rsidP="00AA2C64">
            <w:pPr>
              <w:pStyle w:val="rvps12"/>
              <w:spacing w:before="71" w:beforeAutospacing="0" w:after="71" w:afterAutospacing="0" w:line="17" w:lineRule="atLeast"/>
              <w:jc w:val="center"/>
            </w:pPr>
            <w:r w:rsidRPr="00EE1E72">
              <w:t>4</w:t>
            </w:r>
          </w:p>
        </w:tc>
        <w:tc>
          <w:tcPr>
            <w:tcW w:w="8788" w:type="dxa"/>
            <w:hideMark/>
          </w:tcPr>
          <w:p w:rsidR="00EE1E72" w:rsidRPr="00EE1E72" w:rsidRDefault="00EE1E72" w:rsidP="00AA2C64">
            <w:pPr>
              <w:pStyle w:val="rvps14"/>
              <w:spacing w:before="71" w:beforeAutospacing="0" w:after="71" w:afterAutospacing="0" w:line="17" w:lineRule="atLeast"/>
              <w:jc w:val="both"/>
            </w:pPr>
            <w:r w:rsidRPr="00EE1E72">
              <w:t>Громадські організації (об’єднання) у сфері культури і мистецтв (у тому числі національні творчі спілки або їх члени під творчі майстерні)</w:t>
            </w:r>
          </w:p>
        </w:tc>
      </w:tr>
      <w:tr w:rsidR="00EE1E72" w:rsidRPr="00EE1E72" w:rsidTr="00AA2C64">
        <w:trPr>
          <w:trHeight w:val="17"/>
        </w:trPr>
        <w:tc>
          <w:tcPr>
            <w:tcW w:w="1062" w:type="dxa"/>
            <w:hideMark/>
          </w:tcPr>
          <w:p w:rsidR="00EE1E72" w:rsidRPr="00EE1E72" w:rsidRDefault="00EE1E72" w:rsidP="00AA2C64">
            <w:pPr>
              <w:pStyle w:val="rvps12"/>
              <w:spacing w:before="71" w:beforeAutospacing="0" w:after="71" w:afterAutospacing="0" w:line="17" w:lineRule="atLeast"/>
              <w:jc w:val="center"/>
            </w:pPr>
            <w:r w:rsidRPr="00EE1E72">
              <w:t>5</w:t>
            </w:r>
          </w:p>
        </w:tc>
        <w:tc>
          <w:tcPr>
            <w:tcW w:w="8788" w:type="dxa"/>
            <w:hideMark/>
          </w:tcPr>
          <w:p w:rsidR="00EE1E72" w:rsidRPr="00EE1E72" w:rsidRDefault="00EE1E72" w:rsidP="00AA2C64">
            <w:pPr>
              <w:pStyle w:val="rvps14"/>
              <w:spacing w:before="71" w:beforeAutospacing="0" w:after="71" w:afterAutospacing="0" w:line="17" w:lineRule="atLeast"/>
              <w:jc w:val="both"/>
            </w:pPr>
            <w:r w:rsidRPr="00EE1E72">
              <w:t>Музеї</w:t>
            </w:r>
          </w:p>
        </w:tc>
      </w:tr>
      <w:tr w:rsidR="00EE1E72" w:rsidRPr="00EE1E72" w:rsidTr="00AA2C64">
        <w:trPr>
          <w:trHeight w:val="17"/>
        </w:trPr>
        <w:tc>
          <w:tcPr>
            <w:tcW w:w="1062" w:type="dxa"/>
            <w:hideMark/>
          </w:tcPr>
          <w:p w:rsidR="00EE1E72" w:rsidRPr="00EE1E72" w:rsidRDefault="00EE1E72" w:rsidP="00AA2C64">
            <w:pPr>
              <w:pStyle w:val="rvps12"/>
              <w:spacing w:before="71" w:beforeAutospacing="0" w:after="71" w:afterAutospacing="0" w:line="17" w:lineRule="atLeast"/>
              <w:jc w:val="center"/>
            </w:pPr>
            <w:r w:rsidRPr="00EE1E72">
              <w:t>6</w:t>
            </w:r>
          </w:p>
        </w:tc>
        <w:tc>
          <w:tcPr>
            <w:tcW w:w="8788" w:type="dxa"/>
            <w:hideMark/>
          </w:tcPr>
          <w:p w:rsidR="00EE1E72" w:rsidRPr="00EE1E72" w:rsidRDefault="00EE1E72" w:rsidP="00AA2C64">
            <w:pPr>
              <w:pStyle w:val="rvps14"/>
              <w:spacing w:before="71" w:beforeAutospacing="0" w:after="71" w:afterAutospacing="0" w:line="17" w:lineRule="atLeast"/>
              <w:jc w:val="both"/>
            </w:pPr>
            <w:r w:rsidRPr="00EE1E72">
              <w:t>Громадські організації (об’єднання) ветеранів для розміщення реабілітаційних установ для ветеранів</w:t>
            </w:r>
          </w:p>
        </w:tc>
      </w:tr>
      <w:tr w:rsidR="00EE1E72" w:rsidRPr="00EE1E72" w:rsidTr="00AA2C64">
        <w:trPr>
          <w:trHeight w:val="17"/>
        </w:trPr>
        <w:tc>
          <w:tcPr>
            <w:tcW w:w="1062" w:type="dxa"/>
            <w:hideMark/>
          </w:tcPr>
          <w:p w:rsidR="00EE1E72" w:rsidRPr="00EE1E72" w:rsidRDefault="00EE1E72" w:rsidP="00AA2C64">
            <w:pPr>
              <w:pStyle w:val="rvps12"/>
              <w:spacing w:before="71" w:beforeAutospacing="0" w:after="71" w:afterAutospacing="0" w:line="17" w:lineRule="atLeast"/>
              <w:jc w:val="center"/>
            </w:pPr>
            <w:r w:rsidRPr="00EE1E72">
              <w:t>7</w:t>
            </w:r>
          </w:p>
        </w:tc>
        <w:tc>
          <w:tcPr>
            <w:tcW w:w="8788" w:type="dxa"/>
            <w:hideMark/>
          </w:tcPr>
          <w:p w:rsidR="00EE1E72" w:rsidRPr="00EE1E72" w:rsidRDefault="00EE1E72" w:rsidP="00AA2C64">
            <w:pPr>
              <w:pStyle w:val="rvps14"/>
              <w:spacing w:before="71" w:beforeAutospacing="0" w:after="71" w:afterAutospacing="0" w:line="17" w:lineRule="atLeast"/>
              <w:jc w:val="both"/>
            </w:pPr>
            <w:r w:rsidRPr="00EE1E72">
              <w:t>Реабілітаційні установи для осіб з інвалідністю та дітей з інвалідністю для розміщення таких реабілітаційних установ</w:t>
            </w:r>
          </w:p>
        </w:tc>
      </w:tr>
      <w:tr w:rsidR="00EE1E72" w:rsidRPr="00EE1E72" w:rsidTr="00AA2C64">
        <w:trPr>
          <w:trHeight w:val="17"/>
        </w:trPr>
        <w:tc>
          <w:tcPr>
            <w:tcW w:w="1062" w:type="dxa"/>
            <w:hideMark/>
          </w:tcPr>
          <w:p w:rsidR="00EE1E72" w:rsidRPr="00EE1E72" w:rsidRDefault="00EE1E72" w:rsidP="00AA2C64">
            <w:pPr>
              <w:pStyle w:val="rvps12"/>
              <w:spacing w:before="71" w:beforeAutospacing="0" w:after="71" w:afterAutospacing="0" w:line="17" w:lineRule="atLeast"/>
              <w:jc w:val="center"/>
            </w:pPr>
            <w:r w:rsidRPr="00EE1E72">
              <w:t>8</w:t>
            </w:r>
          </w:p>
        </w:tc>
        <w:tc>
          <w:tcPr>
            <w:tcW w:w="8788" w:type="dxa"/>
            <w:hideMark/>
          </w:tcPr>
          <w:p w:rsidR="00EE1E72" w:rsidRPr="00EE1E72" w:rsidRDefault="00EE1E72" w:rsidP="00AA2C64">
            <w:pPr>
              <w:pStyle w:val="rvps14"/>
              <w:spacing w:before="71" w:beforeAutospacing="0" w:after="71" w:afterAutospacing="0" w:line="17" w:lineRule="atLeast"/>
              <w:jc w:val="both"/>
            </w:pPr>
            <w:r w:rsidRPr="00EE1E72">
              <w:t>Релігійні організації для забезпечення проведення релігійних обрядів та церемоній</w:t>
            </w:r>
          </w:p>
        </w:tc>
      </w:tr>
      <w:tr w:rsidR="00EE1E72" w:rsidRPr="00EE1E72" w:rsidTr="00AA2C64">
        <w:trPr>
          <w:trHeight w:val="17"/>
        </w:trPr>
        <w:tc>
          <w:tcPr>
            <w:tcW w:w="1062" w:type="dxa"/>
            <w:hideMark/>
          </w:tcPr>
          <w:p w:rsidR="00EE1E72" w:rsidRPr="00EE1E72" w:rsidRDefault="00EE1E72" w:rsidP="00AA2C64">
            <w:pPr>
              <w:pStyle w:val="rvps12"/>
              <w:spacing w:before="71" w:beforeAutospacing="0" w:after="71" w:afterAutospacing="0" w:line="17" w:lineRule="atLeast"/>
              <w:jc w:val="center"/>
            </w:pPr>
            <w:r w:rsidRPr="00EE1E72">
              <w:t>9</w:t>
            </w:r>
          </w:p>
        </w:tc>
        <w:tc>
          <w:tcPr>
            <w:tcW w:w="8788" w:type="dxa"/>
            <w:hideMark/>
          </w:tcPr>
          <w:p w:rsidR="00EE1E72" w:rsidRPr="00EE1E72" w:rsidRDefault="00EE1E72" w:rsidP="00AA2C64">
            <w:pPr>
              <w:pStyle w:val="rvps14"/>
              <w:spacing w:before="71" w:beforeAutospacing="0" w:after="71" w:afterAutospacing="0" w:line="17" w:lineRule="atLeast"/>
              <w:jc w:val="both"/>
            </w:pPr>
            <w:r w:rsidRPr="00EE1E72">
              <w:t>Заклади освіти</w:t>
            </w:r>
          </w:p>
        </w:tc>
      </w:tr>
      <w:tr w:rsidR="00EE1E72" w:rsidRPr="00EE1E72" w:rsidTr="00AA2C64">
        <w:trPr>
          <w:trHeight w:val="17"/>
        </w:trPr>
        <w:tc>
          <w:tcPr>
            <w:tcW w:w="1062" w:type="dxa"/>
            <w:hideMark/>
          </w:tcPr>
          <w:p w:rsidR="00EE1E72" w:rsidRPr="00EE1E72" w:rsidRDefault="00EE1E72" w:rsidP="00AA2C64">
            <w:pPr>
              <w:pStyle w:val="rvps12"/>
              <w:spacing w:before="71" w:beforeAutospacing="0" w:after="71" w:afterAutospacing="0" w:line="17" w:lineRule="atLeast"/>
              <w:jc w:val="center"/>
            </w:pPr>
            <w:r w:rsidRPr="00EE1E72">
              <w:t>10</w:t>
            </w:r>
          </w:p>
        </w:tc>
        <w:tc>
          <w:tcPr>
            <w:tcW w:w="8788" w:type="dxa"/>
            <w:hideMark/>
          </w:tcPr>
          <w:p w:rsidR="00EE1E72" w:rsidRPr="00EE1E72" w:rsidRDefault="00EE1E72" w:rsidP="00AA2C64">
            <w:pPr>
              <w:pStyle w:val="rvps14"/>
              <w:spacing w:before="71" w:beforeAutospacing="0" w:after="71" w:afterAutospacing="0" w:line="17" w:lineRule="atLeast"/>
              <w:jc w:val="both"/>
            </w:pPr>
            <w:r w:rsidRPr="00EE1E72">
              <w:t>Державні та комунальні спеціалізовані підприємства, установи та заклади соціального обслуговування, що надають соціальні послуги відповідно до </w:t>
            </w:r>
            <w:hyperlink r:id="rId5" w:tgtFrame="_blank" w:history="1">
              <w:r w:rsidRPr="00EE1E72">
                <w:rPr>
                  <w:rStyle w:val="a3"/>
                  <w:color w:val="000099"/>
                </w:rPr>
                <w:t>Закону України</w:t>
              </w:r>
            </w:hyperlink>
            <w:r w:rsidRPr="00EE1E72">
              <w:t> </w:t>
            </w:r>
            <w:proofErr w:type="spellStart"/>
            <w:r w:rsidRPr="00EE1E72">
              <w:t>“Про</w:t>
            </w:r>
            <w:proofErr w:type="spellEnd"/>
            <w:r w:rsidRPr="00EE1E72">
              <w:t xml:space="preserve"> соціальні </w:t>
            </w:r>
            <w:proofErr w:type="spellStart"/>
            <w:r w:rsidRPr="00EE1E72">
              <w:t>послуги”</w:t>
            </w:r>
            <w:proofErr w:type="spellEnd"/>
          </w:p>
        </w:tc>
      </w:tr>
      <w:tr w:rsidR="00EE1E72" w:rsidRPr="00EE1E72" w:rsidTr="00AA2C64">
        <w:trPr>
          <w:trHeight w:val="17"/>
        </w:trPr>
        <w:tc>
          <w:tcPr>
            <w:tcW w:w="1062" w:type="dxa"/>
            <w:hideMark/>
          </w:tcPr>
          <w:p w:rsidR="00EE1E72" w:rsidRPr="00EE1E72" w:rsidRDefault="00EE1E72" w:rsidP="00AA2C64">
            <w:pPr>
              <w:pStyle w:val="rvps12"/>
              <w:spacing w:before="71" w:beforeAutospacing="0" w:after="71" w:afterAutospacing="0" w:line="17" w:lineRule="atLeast"/>
              <w:jc w:val="center"/>
            </w:pPr>
            <w:r w:rsidRPr="00EE1E72">
              <w:t>11</w:t>
            </w:r>
          </w:p>
        </w:tc>
        <w:tc>
          <w:tcPr>
            <w:tcW w:w="8788" w:type="dxa"/>
            <w:hideMark/>
          </w:tcPr>
          <w:p w:rsidR="00EE1E72" w:rsidRPr="00EE1E72" w:rsidRDefault="00EE1E72" w:rsidP="00AA2C64">
            <w:pPr>
              <w:pStyle w:val="rvps14"/>
              <w:spacing w:before="71" w:beforeAutospacing="0" w:after="71" w:afterAutospacing="0" w:line="17" w:lineRule="atLeast"/>
              <w:jc w:val="both"/>
            </w:pPr>
            <w:r w:rsidRPr="00EE1E72">
              <w:t xml:space="preserve">Редакції державних і комунальних періодичних видань, державні видавництва, підприємства </w:t>
            </w:r>
            <w:proofErr w:type="spellStart"/>
            <w:r w:rsidRPr="00EE1E72">
              <w:t>книгорозповсюдження</w:t>
            </w:r>
            <w:proofErr w:type="spellEnd"/>
            <w:r w:rsidRPr="00EE1E72">
              <w:t xml:space="preserve">, вітчизняні видавництва та підприємства </w:t>
            </w:r>
            <w:proofErr w:type="spellStart"/>
            <w:r w:rsidRPr="00EE1E72">
              <w:t>книгорозповсюдження</w:t>
            </w:r>
            <w:proofErr w:type="spellEnd"/>
            <w:r w:rsidRPr="00EE1E72">
              <w:t>, що забезпечують підготовку, випуск та (або) розповсюдження не менш як 50 відсотків книжкової продукції державною мовою (за винятком видань рекламного та еротичного характеру)</w:t>
            </w:r>
          </w:p>
        </w:tc>
      </w:tr>
      <w:tr w:rsidR="00EE1E72" w:rsidRPr="00EE1E72" w:rsidTr="00AA2C64">
        <w:trPr>
          <w:trHeight w:val="17"/>
        </w:trPr>
        <w:tc>
          <w:tcPr>
            <w:tcW w:w="1062" w:type="dxa"/>
            <w:hideMark/>
          </w:tcPr>
          <w:p w:rsidR="00EE1E72" w:rsidRPr="00EE1E72" w:rsidRDefault="00EE1E72" w:rsidP="00AA2C64">
            <w:pPr>
              <w:pStyle w:val="rvps12"/>
              <w:spacing w:before="71" w:beforeAutospacing="0" w:after="71" w:afterAutospacing="0" w:line="17" w:lineRule="atLeast"/>
              <w:jc w:val="center"/>
            </w:pPr>
            <w:r w:rsidRPr="00EE1E72">
              <w:t>12</w:t>
            </w:r>
          </w:p>
        </w:tc>
        <w:tc>
          <w:tcPr>
            <w:tcW w:w="8788" w:type="dxa"/>
            <w:hideMark/>
          </w:tcPr>
          <w:p w:rsidR="00EE1E72" w:rsidRPr="00EE1E72" w:rsidRDefault="00EE1E72" w:rsidP="00AA2C64">
            <w:pPr>
              <w:pStyle w:val="rvps14"/>
              <w:spacing w:before="71" w:beforeAutospacing="0" w:after="71" w:afterAutospacing="0" w:line="17" w:lineRule="atLeast"/>
              <w:jc w:val="both"/>
            </w:pPr>
            <w:r w:rsidRPr="00EE1E72">
              <w:t>Громадська приймальня народного депутата України або депутата місцевої ради</w:t>
            </w:r>
          </w:p>
        </w:tc>
      </w:tr>
      <w:tr w:rsidR="00EE1E72" w:rsidRPr="00EE1E72" w:rsidTr="00AA2C64">
        <w:trPr>
          <w:trHeight w:val="17"/>
        </w:trPr>
        <w:tc>
          <w:tcPr>
            <w:tcW w:w="1062" w:type="dxa"/>
            <w:hideMark/>
          </w:tcPr>
          <w:p w:rsidR="00EE1E72" w:rsidRPr="00EE1E72" w:rsidRDefault="00EE1E72" w:rsidP="00AA2C64">
            <w:pPr>
              <w:pStyle w:val="rvps12"/>
              <w:spacing w:before="71" w:beforeAutospacing="0" w:after="71" w:afterAutospacing="0" w:line="17" w:lineRule="atLeast"/>
              <w:jc w:val="center"/>
            </w:pPr>
            <w:r w:rsidRPr="00EE1E72">
              <w:t>13</w:t>
            </w:r>
          </w:p>
        </w:tc>
        <w:tc>
          <w:tcPr>
            <w:tcW w:w="8788" w:type="dxa"/>
            <w:hideMark/>
          </w:tcPr>
          <w:p w:rsidR="00EE1E72" w:rsidRPr="00EE1E72" w:rsidRDefault="00EE1E72" w:rsidP="00AA2C64">
            <w:pPr>
              <w:pStyle w:val="rvps14"/>
              <w:spacing w:before="71" w:beforeAutospacing="0" w:after="71" w:afterAutospacing="0" w:line="17" w:lineRule="atLeast"/>
              <w:jc w:val="both"/>
            </w:pPr>
            <w:r w:rsidRPr="00EE1E72">
              <w:t>Дипломатичні представництва та консульські установи іноземних держав, представництва міжнародних міжурядових організацій в Україні</w:t>
            </w:r>
          </w:p>
        </w:tc>
      </w:tr>
      <w:tr w:rsidR="00EE1E72" w:rsidRPr="00EE1E72" w:rsidTr="00AA2C64">
        <w:trPr>
          <w:trHeight w:val="17"/>
        </w:trPr>
        <w:tc>
          <w:tcPr>
            <w:tcW w:w="1062" w:type="dxa"/>
            <w:hideMark/>
          </w:tcPr>
          <w:p w:rsidR="00EE1E72" w:rsidRPr="00EE1E72" w:rsidRDefault="00EE1E72" w:rsidP="00AA2C64">
            <w:pPr>
              <w:pStyle w:val="rvps12"/>
              <w:spacing w:before="71" w:beforeAutospacing="0" w:after="71" w:afterAutospacing="0" w:line="17" w:lineRule="atLeast"/>
              <w:jc w:val="center"/>
            </w:pPr>
            <w:r w:rsidRPr="00EE1E72">
              <w:t>14</w:t>
            </w:r>
          </w:p>
        </w:tc>
        <w:tc>
          <w:tcPr>
            <w:tcW w:w="8788" w:type="dxa"/>
            <w:hideMark/>
          </w:tcPr>
          <w:p w:rsidR="00EE1E72" w:rsidRPr="00EE1E72" w:rsidRDefault="00EE1E72" w:rsidP="00AA2C64">
            <w:pPr>
              <w:pStyle w:val="rvps14"/>
              <w:spacing w:before="71" w:beforeAutospacing="0" w:after="71" w:afterAutospacing="0" w:line="17" w:lineRule="atLeast"/>
              <w:jc w:val="both"/>
            </w:pPr>
            <w:r w:rsidRPr="00EE1E72">
              <w:t>Організація та проведення науково-практичних, культурних, мистецьких, громадських, суспільних та політичних заходів</w:t>
            </w:r>
          </w:p>
        </w:tc>
      </w:tr>
      <w:tr w:rsidR="00EE1E72" w:rsidRPr="00EE1E72" w:rsidTr="00AA2C64">
        <w:trPr>
          <w:trHeight w:val="17"/>
        </w:trPr>
        <w:tc>
          <w:tcPr>
            <w:tcW w:w="1062" w:type="dxa"/>
            <w:tcBorders>
              <w:bottom w:val="single" w:sz="4" w:space="0" w:color="auto"/>
            </w:tcBorders>
            <w:hideMark/>
          </w:tcPr>
          <w:p w:rsidR="00EE1E72" w:rsidRPr="00EE1E72" w:rsidRDefault="00EE1E72" w:rsidP="00AA2C64">
            <w:pPr>
              <w:pStyle w:val="rvps12"/>
              <w:spacing w:before="71" w:beforeAutospacing="0" w:after="71" w:afterAutospacing="0" w:line="17" w:lineRule="atLeast"/>
              <w:jc w:val="center"/>
            </w:pPr>
            <w:r w:rsidRPr="00EE1E72">
              <w:lastRenderedPageBreak/>
              <w:t>15</w:t>
            </w:r>
          </w:p>
        </w:tc>
        <w:tc>
          <w:tcPr>
            <w:tcW w:w="8788" w:type="dxa"/>
            <w:tcBorders>
              <w:bottom w:val="single" w:sz="4" w:space="0" w:color="auto"/>
            </w:tcBorders>
            <w:hideMark/>
          </w:tcPr>
          <w:p w:rsidR="00EE1E72" w:rsidRPr="00EE1E72" w:rsidRDefault="00EE1E72" w:rsidP="00AA2C64">
            <w:pPr>
              <w:pStyle w:val="rvps14"/>
              <w:spacing w:before="71" w:beforeAutospacing="0" w:after="71" w:afterAutospacing="0" w:line="17" w:lineRule="atLeast"/>
              <w:jc w:val="both"/>
            </w:pPr>
            <w:r w:rsidRPr="00EE1E72">
              <w:t>Проведення публічних заходів (зборів, дебатів, дискусій) під час та на період виборчої кампанії</w:t>
            </w:r>
          </w:p>
        </w:tc>
      </w:tr>
    </w:tbl>
    <w:p w:rsidR="00EE1E72" w:rsidRDefault="00EE1E72" w:rsidP="00EE1E72">
      <w:pPr>
        <w:shd w:val="clear" w:color="auto" w:fill="FFFFFF"/>
        <w:ind w:firstLine="556"/>
        <w:jc w:val="both"/>
        <w:rPr>
          <w:rFonts w:eastAsia="Times New Roman" w:cs="Times New Roman"/>
          <w:b/>
          <w:bCs/>
          <w:color w:val="000000"/>
          <w:sz w:val="20"/>
          <w:szCs w:val="20"/>
          <w:lang w:eastAsia="uk-UA"/>
        </w:rPr>
      </w:pPr>
    </w:p>
    <w:p w:rsidR="00EE1E72" w:rsidRDefault="00EE1E72" w:rsidP="00EE1E72">
      <w:pPr>
        <w:shd w:val="clear" w:color="auto" w:fill="FFFFFF"/>
        <w:ind w:firstLine="556"/>
        <w:jc w:val="both"/>
        <w:rPr>
          <w:rFonts w:eastAsia="Times New Roman" w:cs="Times New Roman"/>
          <w:b/>
          <w:bCs/>
          <w:color w:val="000000"/>
          <w:sz w:val="20"/>
          <w:szCs w:val="20"/>
          <w:lang w:eastAsia="uk-UA"/>
        </w:rPr>
      </w:pPr>
    </w:p>
    <w:p w:rsidR="00EE1E72" w:rsidRDefault="00EE1E72" w:rsidP="00EE1E72">
      <w:pPr>
        <w:shd w:val="clear" w:color="auto" w:fill="FFFFFF"/>
        <w:ind w:firstLine="556"/>
        <w:jc w:val="both"/>
        <w:rPr>
          <w:rFonts w:eastAsia="Times New Roman" w:cs="Times New Roman"/>
          <w:b/>
          <w:bCs/>
          <w:color w:val="000000"/>
          <w:sz w:val="20"/>
          <w:szCs w:val="20"/>
          <w:lang w:eastAsia="uk-UA"/>
        </w:rPr>
      </w:pPr>
    </w:p>
    <w:p w:rsidR="00EE1E72" w:rsidRDefault="00EE1E72" w:rsidP="00EE1E72">
      <w:pPr>
        <w:shd w:val="clear" w:color="auto" w:fill="FFFFFF"/>
        <w:ind w:firstLine="556"/>
        <w:jc w:val="both"/>
        <w:rPr>
          <w:rFonts w:eastAsia="Times New Roman" w:cs="Times New Roman"/>
          <w:b/>
          <w:bCs/>
          <w:color w:val="000000"/>
          <w:sz w:val="20"/>
          <w:szCs w:val="20"/>
          <w:lang w:eastAsia="uk-UA"/>
        </w:rPr>
      </w:pPr>
    </w:p>
    <w:p w:rsidR="00EE1E72" w:rsidRDefault="00EE1E72" w:rsidP="00EE1E72">
      <w:pPr>
        <w:shd w:val="clear" w:color="auto" w:fill="FFFFFF"/>
        <w:ind w:firstLine="556"/>
        <w:jc w:val="both"/>
        <w:rPr>
          <w:rFonts w:eastAsia="Times New Roman" w:cs="Times New Roman"/>
          <w:b/>
          <w:bCs/>
          <w:color w:val="000000"/>
          <w:sz w:val="20"/>
          <w:szCs w:val="20"/>
          <w:lang w:eastAsia="uk-UA"/>
        </w:rPr>
      </w:pPr>
    </w:p>
    <w:p w:rsidR="00EE1E72" w:rsidRDefault="00EE1E72" w:rsidP="00EE1E72">
      <w:pPr>
        <w:shd w:val="clear" w:color="auto" w:fill="FFFFFF"/>
        <w:ind w:firstLine="556"/>
        <w:jc w:val="both"/>
        <w:rPr>
          <w:rFonts w:eastAsia="Times New Roman" w:cs="Times New Roman"/>
          <w:b/>
          <w:bCs/>
          <w:color w:val="000000"/>
          <w:sz w:val="20"/>
          <w:szCs w:val="20"/>
          <w:lang w:eastAsia="uk-UA"/>
        </w:rPr>
      </w:pPr>
    </w:p>
    <w:p w:rsidR="00EE1E72" w:rsidRDefault="00EE1E72" w:rsidP="00EE1E72">
      <w:pPr>
        <w:shd w:val="clear" w:color="auto" w:fill="FFFFFF"/>
        <w:ind w:firstLine="556"/>
        <w:jc w:val="both"/>
        <w:rPr>
          <w:rFonts w:eastAsia="Times New Roman" w:cs="Times New Roman"/>
          <w:b/>
          <w:bCs/>
          <w:color w:val="000000"/>
          <w:sz w:val="20"/>
          <w:szCs w:val="20"/>
          <w:lang w:eastAsia="uk-UA"/>
        </w:rPr>
      </w:pPr>
    </w:p>
    <w:p w:rsidR="0053229F" w:rsidRDefault="0053229F"/>
    <w:sectPr w:rsidR="0053229F" w:rsidSect="00532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1E72"/>
    <w:rsid w:val="003D330A"/>
    <w:rsid w:val="0053229F"/>
    <w:rsid w:val="00887AAE"/>
    <w:rsid w:val="009519F7"/>
    <w:rsid w:val="0098566F"/>
    <w:rsid w:val="00A75DAF"/>
    <w:rsid w:val="00B95206"/>
    <w:rsid w:val="00DA4675"/>
    <w:rsid w:val="00EE1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E72"/>
    <w:rPr>
      <w:rFonts w:cstheme="minorBidi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1E72"/>
    <w:rPr>
      <w:color w:val="0000FF"/>
      <w:u w:val="single"/>
    </w:rPr>
  </w:style>
  <w:style w:type="paragraph" w:customStyle="1" w:styleId="rvps12">
    <w:name w:val="rvps12"/>
    <w:basedOn w:val="a"/>
    <w:rsid w:val="00EE1E7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rsid w:val="00EE1E7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rsid w:val="00EE1E7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EE1E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2671-19" TargetMode="External"/><Relationship Id="rId4" Type="http://schemas.openxmlformats.org/officeDocument/2006/relationships/hyperlink" Target="https://zakon.rada.gov.ua/laws/show/157-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2022-01-20T13:00:00Z</dcterms:created>
  <dcterms:modified xsi:type="dcterms:W3CDTF">2022-01-20T13:01:00Z</dcterms:modified>
</cp:coreProperties>
</file>