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E6" w:rsidRPr="005A710A" w:rsidRDefault="00BA0DE6" w:rsidP="00BA0DE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A710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16CD87E" wp14:editId="17BA0ED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E6" w:rsidRPr="005A710A" w:rsidRDefault="00BA0DE6" w:rsidP="00BA0D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A710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A710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A710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A710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A0DE6" w:rsidRPr="005A710A" w:rsidRDefault="00BA0DE6" w:rsidP="00BA0D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A710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A0DE6" w:rsidRPr="005A710A" w:rsidRDefault="00BA0DE6" w:rsidP="00BA0DE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A710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77F34" wp14:editId="0137E3D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A710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A710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18</w:t>
      </w:r>
    </w:p>
    <w:p w:rsidR="00BA0DE6" w:rsidRDefault="00BA0DE6" w:rsidP="00BA0D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A710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Pr="005A710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5A710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2 </w:t>
      </w:r>
      <w:r w:rsidRPr="005A710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A0DE6" w:rsidRDefault="00BA0DE6" w:rsidP="00BA0D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A0DE6" w:rsidRDefault="00BA0DE6" w:rsidP="00BA0D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6586C" w:rsidRPr="00E6586C" w:rsidRDefault="00E6586C" w:rsidP="00E6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6586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затвердження видів безоплатних суспільно корисних робіт </w:t>
      </w:r>
    </w:p>
    <w:p w:rsidR="00E6586C" w:rsidRPr="00E6586C" w:rsidRDefault="00E6586C" w:rsidP="00E6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6586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для засуджених, на яких судом накладено кримінальне покарання </w:t>
      </w:r>
    </w:p>
    <w:p w:rsidR="00E6586C" w:rsidRPr="00E6586C" w:rsidRDefault="00E6586C" w:rsidP="00E6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6586C">
        <w:rPr>
          <w:rFonts w:ascii="Times New Roman" w:eastAsia="Calibri" w:hAnsi="Times New Roman" w:cs="Times New Roman"/>
          <w:b/>
          <w:noProof w:val="0"/>
          <w:sz w:val="28"/>
          <w:szCs w:val="28"/>
        </w:rPr>
        <w:t>у вигляді громадських робіт, та переліку об’єктів для відбування засудженими громадських робіт на 2022 рік</w:t>
      </w:r>
    </w:p>
    <w:p w:rsidR="00E6586C" w:rsidRPr="00E6586C" w:rsidRDefault="00E6586C" w:rsidP="00E6586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E6586C" w:rsidRPr="00E6586C" w:rsidRDefault="00BA0DE6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Відповідно до ст. 30, п.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п.2 п.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«а»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ч.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1 ст.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38, ч.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1 ст.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52, ч.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6 ст.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59 Закону Україн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и «Про місцеве самоврядування в Україні»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та ч.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1 ст.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56 Кримінального кодексу України, </w:t>
      </w:r>
      <w:proofErr w:type="spellStart"/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ч.ч</w:t>
      </w:r>
      <w:proofErr w:type="spellEnd"/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1, 2, 5 ст.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36 Кримінально-виконавчого кодексу України,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розглянувши лист </w:t>
      </w:r>
      <w:r w:rsidRPr="008B7735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начальника </w:t>
      </w:r>
      <w:r w:rsidRPr="00581F0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Могилів -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Подільського районного відділу </w:t>
      </w:r>
      <w:r w:rsidRPr="00581F0E">
        <w:rPr>
          <w:rFonts w:ascii="Times New Roman" w:eastAsia="Calibri" w:hAnsi="Times New Roman" w:cs="Times New Roman"/>
          <w:noProof w:val="0"/>
          <w:sz w:val="28"/>
          <w:szCs w:val="28"/>
        </w:rPr>
        <w:t>філії Державної установи «Центр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noProof w:val="0"/>
          <w:sz w:val="28"/>
          <w:szCs w:val="28"/>
        </w:rPr>
        <w:t>пробації</w:t>
      </w:r>
      <w:proofErr w:type="spellEnd"/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» у Вінницькій області, </w:t>
      </w:r>
      <w:r w:rsidRPr="008B7735">
        <w:rPr>
          <w:rFonts w:ascii="Times New Roman" w:eastAsia="Calibri" w:hAnsi="Times New Roman" w:cs="Times New Roman"/>
          <w:noProof w:val="0"/>
          <w:sz w:val="28"/>
          <w:szCs w:val="28"/>
        </w:rPr>
        <w:t>підполковн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ика внутрішньої служби </w:t>
      </w:r>
      <w:r w:rsidRPr="008B7735">
        <w:rPr>
          <w:rFonts w:ascii="Times New Roman" w:eastAsia="Calibri" w:hAnsi="Times New Roman" w:cs="Times New Roman"/>
          <w:noProof w:val="0"/>
          <w:sz w:val="28"/>
          <w:szCs w:val="28"/>
        </w:rPr>
        <w:t>Притики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А.М. від 04.01.2022 року №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42/12/01-22,</w:t>
      </w:r>
      <w:r w:rsidR="0043281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</w:p>
    <w:p w:rsidR="00E6586C" w:rsidRPr="00E6586C" w:rsidRDefault="00E6586C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6586C" w:rsidRPr="00E6586C" w:rsidRDefault="00E6586C" w:rsidP="00E6586C">
      <w:pPr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6586C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виконком міської ради ВИРІШИВ: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9889"/>
      </w:tblGrid>
      <w:tr w:rsidR="00E6586C" w:rsidRPr="00E6586C" w:rsidTr="00923920">
        <w:tc>
          <w:tcPr>
            <w:tcW w:w="9889" w:type="dxa"/>
            <w:shd w:val="clear" w:color="auto" w:fill="FFFFFF"/>
          </w:tcPr>
          <w:p w:rsidR="00E6586C" w:rsidRPr="00E6586C" w:rsidRDefault="00923920" w:rsidP="00E6586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          </w:t>
            </w:r>
            <w:r w:rsidR="00E6586C" w:rsidRPr="00923920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1.</w:t>
            </w:r>
            <w:r w:rsidR="00E6586C" w:rsidRPr="00E6586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Встановити наступні види безоплатних суспільно корисних робіт:</w:t>
            </w:r>
          </w:p>
          <w:p w:rsidR="00923920" w:rsidRDefault="00923920" w:rsidP="0092392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- </w:t>
            </w:r>
            <w:r w:rsidR="00E6586C" w:rsidRPr="00E6586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благоустрій та озеленення території Могилів-Подільської міської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</w:p>
          <w:p w:rsidR="00E6586C" w:rsidRPr="00E6586C" w:rsidRDefault="00923920" w:rsidP="00923920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noProof w:val="0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E6586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територіальної громади;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фарбування пішохідних огорож;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впорядкування території Могилів-Подільської міської територіальної </w:t>
            </w:r>
          </w:p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громади з ліквідації наслідків надзвичайних ситуацій, визнаних такими у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встановленому порядку;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впорядкування території, прилеглої до пам’ятників, пам’ятних знаків, місць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меморіального поховання загиблих захисників Вітчизни;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підсобні роботи при проведенні ремонту або реконструкції об’єктів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    </w:t>
            </w:r>
          </w:p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соціальної сфери (навчальних закладів, дитячих дошкільних закладів,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</w:p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спортивних майданчиків, закладів культури і охорони здоров’я), які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здійснюються власними силами бюджетних установ;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widowControl w:val="0"/>
              <w:tabs>
                <w:tab w:val="left" w:pos="-10"/>
              </w:tabs>
              <w:spacing w:after="0" w:line="240" w:lineRule="auto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прибирання побутового, рослинного та будівельного сміття на прибудинкових </w:t>
            </w:r>
          </w:p>
          <w:p w:rsidR="00E6586C" w:rsidRPr="00923920" w:rsidRDefault="00923920" w:rsidP="00923920">
            <w:pPr>
              <w:widowControl w:val="0"/>
              <w:tabs>
                <w:tab w:val="left" w:pos="-10"/>
              </w:tabs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територіях та загального користування;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ліквідація неорганізованих (стихійн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их) звалищ сміття, навантаження т</w:t>
            </w:r>
            <w:r w:rsidR="00E6586C" w:rsidRPr="00E6586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а вивіз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E6586C" w:rsidRPr="00E6586C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</w:t>
            </w:r>
            <w:r w:rsidR="00E6586C" w:rsidRPr="00E6586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негабаритного сміття, обрізаного гілля;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прибирання від хмизу та гілок об</w:t>
            </w:r>
            <w:r w:rsidR="00432812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’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єктів, де проводились роботи із обрізки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зелених насаджень;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lastRenderedPageBreak/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очищення газонів від листя з навантаженням його на машину;</w:t>
            </w:r>
          </w:p>
        </w:tc>
      </w:tr>
      <w:tr w:rsidR="00E6586C" w:rsidRPr="00E6586C" w:rsidTr="00923920">
        <w:trPr>
          <w:trHeight w:val="720"/>
        </w:trPr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очищення доріг, тротуарів, пішохідних доріжок та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зупинок громадського 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</w:p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транспорту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від снігу,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ожеледиці, льоду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та посипання </w:t>
            </w:r>
            <w:proofErr w:type="spellStart"/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протиожеледним</w:t>
            </w:r>
            <w:proofErr w:type="spellEnd"/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матеріало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м на прибудинкових територіях,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загального користування;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косіння, видалення трави, ліквідація бур’янів, порослі та кущів, карантинних 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рослин на територіях загального користування;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копання газонів та клумб, висадка саджанців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дерев, кущів, квітів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, поливання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клумб,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скошування газонів;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прибирання, фарбування спортивних та дитячих майданчиків на територіях 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загального користування;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очищення опор і фасадів будинків від рекламних оголошень;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прибирання сміття з урн, на прибудинкових територіях та загального 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</w:p>
          <w:p w:rsidR="00E6586C" w:rsidRPr="00923920" w:rsidRDefault="00923920" w:rsidP="0092392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користування;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E6586C" w:rsidRPr="00923920" w:rsidRDefault="00923920" w:rsidP="00923920">
            <w:pPr>
              <w:widowControl w:val="0"/>
              <w:tabs>
                <w:tab w:val="left" w:pos="-34"/>
              </w:tabs>
              <w:spacing w:after="0" w:line="240" w:lineRule="auto"/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 xml:space="preserve"> </w:t>
            </w:r>
            <w:r w:rsidR="00E6586C" w:rsidRPr="00923920">
              <w:rPr>
                <w:rFonts w:ascii="Times New Roman" w:eastAsia="Arial Unicode MS" w:hAnsi="Times New Roman" w:cs="Times New Roman"/>
                <w:noProof w:val="0"/>
                <w:sz w:val="28"/>
                <w:szCs w:val="28"/>
                <w:lang w:eastAsia="uk-UA"/>
              </w:rPr>
              <w:t>прибирання вулиць;</w:t>
            </w:r>
          </w:p>
        </w:tc>
      </w:tr>
      <w:tr w:rsidR="00E6586C" w:rsidRPr="00E6586C" w:rsidTr="00923920">
        <w:tc>
          <w:tcPr>
            <w:tcW w:w="9889" w:type="dxa"/>
            <w:shd w:val="clear" w:color="auto" w:fill="FFFFFF"/>
          </w:tcPr>
          <w:p w:rsidR="00923920" w:rsidRDefault="00923920" w:rsidP="00923920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інші види загальнодоступних суспільно корисних робіт, які мають суспільно </w:t>
            </w:r>
          </w:p>
          <w:p w:rsidR="00E6586C" w:rsidRPr="00923920" w:rsidRDefault="00923920" w:rsidP="00923920">
            <w:pPr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E6586C" w:rsidRPr="00923920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корисну спрямованість.</w:t>
            </w:r>
          </w:p>
        </w:tc>
      </w:tr>
    </w:tbl>
    <w:p w:rsidR="00923920" w:rsidRPr="00923920" w:rsidRDefault="00923920" w:rsidP="0092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20">
        <w:rPr>
          <w:rFonts w:ascii="Times New Roman" w:hAnsi="Times New Roman" w:cs="Times New Roman"/>
          <w:b/>
          <w:sz w:val="28"/>
          <w:szCs w:val="28"/>
        </w:rPr>
        <w:t xml:space="preserve">         2.</w:t>
      </w:r>
      <w:r w:rsidRPr="00923920">
        <w:rPr>
          <w:rFonts w:ascii="Times New Roman" w:hAnsi="Times New Roman" w:cs="Times New Roman"/>
          <w:sz w:val="28"/>
          <w:szCs w:val="28"/>
        </w:rPr>
        <w:t xml:space="preserve"> Затвердити перелік підприємств, на об’єктах яких здійснюється</w:t>
      </w:r>
    </w:p>
    <w:p w:rsidR="00923920" w:rsidRPr="00923920" w:rsidRDefault="00923920" w:rsidP="009239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20">
        <w:rPr>
          <w:rFonts w:ascii="Times New Roman" w:hAnsi="Times New Roman" w:cs="Times New Roman"/>
          <w:sz w:val="28"/>
          <w:szCs w:val="28"/>
        </w:rPr>
        <w:t xml:space="preserve">виконання безоплатних суспільно корисних робіт: </w:t>
      </w:r>
    </w:p>
    <w:p w:rsidR="00923920" w:rsidRDefault="00923920" w:rsidP="0092392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- Могилів – Подільське міське комунальне підприємство </w:t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</w:t>
      </w:r>
    </w:p>
    <w:p w:rsidR="00923920" w:rsidRPr="00923920" w:rsidRDefault="00923920" w:rsidP="00923920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</w:t>
      </w: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«</w:t>
      </w:r>
      <w:proofErr w:type="spellStart"/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Житловокомунгосп</w:t>
      </w:r>
      <w:proofErr w:type="spellEnd"/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»;</w:t>
      </w:r>
    </w:p>
    <w:p w:rsidR="00923920" w:rsidRDefault="00923920" w:rsidP="00923920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- Могилів – Подільське міське комунальне підприємство «Могилів – </w:t>
      </w:r>
    </w:p>
    <w:p w:rsidR="00923920" w:rsidRPr="00923920" w:rsidRDefault="00923920" w:rsidP="00923920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Подільський </w:t>
      </w: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парк культури та відпочинку ім. Лесі Українки»; </w:t>
      </w:r>
    </w:p>
    <w:p w:rsidR="00923920" w:rsidRPr="00923920" w:rsidRDefault="00923920" w:rsidP="00923920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- комунальне підприємство ритуального обслуговування «Скорбота» Могилів – </w:t>
      </w:r>
    </w:p>
    <w:p w:rsidR="00923920" w:rsidRPr="00923920" w:rsidRDefault="00923920" w:rsidP="00923920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Подільської міської ради;</w:t>
      </w:r>
    </w:p>
    <w:p w:rsidR="00923920" w:rsidRDefault="00923920" w:rsidP="0092392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- Могилів – Подільське</w:t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міське комунальне підприємство </w:t>
      </w: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«Комбінат </w:t>
      </w:r>
    </w:p>
    <w:p w:rsidR="00923920" w:rsidRPr="00923920" w:rsidRDefault="00923920" w:rsidP="0092392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 комунальних </w:t>
      </w:r>
      <w:r w:rsidRPr="00923920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підприємств».</w:t>
      </w:r>
    </w:p>
    <w:p w:rsidR="00E6586C" w:rsidRPr="00E6586C" w:rsidRDefault="00A1621D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1621D">
        <w:rPr>
          <w:rFonts w:ascii="Times New Roman" w:eastAsia="Calibri" w:hAnsi="Times New Roman" w:cs="Times New Roman"/>
          <w:b/>
          <w:noProof w:val="0"/>
          <w:sz w:val="28"/>
          <w:szCs w:val="28"/>
        </w:rPr>
        <w:t>3.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Затвердити Порядок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організації виконання безоплатних суспільно корисних робіт згідно з додатком, що додається. </w:t>
      </w:r>
    </w:p>
    <w:p w:rsidR="00E6586C" w:rsidRPr="00E6586C" w:rsidRDefault="00E6586C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FF0000"/>
          <w:sz w:val="28"/>
          <w:szCs w:val="28"/>
        </w:rPr>
      </w:pPr>
      <w:r w:rsidRPr="00A1621D">
        <w:rPr>
          <w:rFonts w:ascii="Times New Roman" w:eastAsia="Calibri" w:hAnsi="Times New Roman" w:cs="Times New Roman"/>
          <w:b/>
          <w:noProof w:val="0"/>
          <w:sz w:val="28"/>
          <w:szCs w:val="28"/>
        </w:rPr>
        <w:t>4.</w:t>
      </w:r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Дане рішення надіслати до Могилів</w:t>
      </w:r>
      <w:r w:rsid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Подільського районного відділу філії Державної установи «Центр </w:t>
      </w:r>
      <w:proofErr w:type="spellStart"/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пробації</w:t>
      </w:r>
      <w:proofErr w:type="spellEnd"/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» у Вінницькій області.</w:t>
      </w:r>
    </w:p>
    <w:p w:rsidR="00E6586C" w:rsidRDefault="00E6586C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1621D">
        <w:rPr>
          <w:rFonts w:ascii="Times New Roman" w:eastAsia="Calibri" w:hAnsi="Times New Roman" w:cs="Times New Roman"/>
          <w:b/>
          <w:noProof w:val="0"/>
          <w:sz w:val="28"/>
          <w:szCs w:val="28"/>
        </w:rPr>
        <w:t>5.</w:t>
      </w:r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>Безмещука</w:t>
      </w:r>
      <w:proofErr w:type="spellEnd"/>
      <w:r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П.О..</w:t>
      </w:r>
      <w:r w:rsid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</w:p>
    <w:p w:rsidR="00A1621D" w:rsidRDefault="00A1621D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1621D" w:rsidRDefault="00A1621D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A1621D" w:rsidRPr="00E6586C" w:rsidRDefault="00A1621D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6586C" w:rsidRPr="00E6586C" w:rsidRDefault="00E6586C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E6586C" w:rsidRDefault="00A1621D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</w:t>
      </w:r>
      <w:r w:rsidR="00E6586C" w:rsidRP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</w:t>
      </w:r>
      <w:r w:rsidR="00E56A8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6586C" w:rsidRPr="00A1621D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A1621D" w:rsidRPr="00A1621D" w:rsidRDefault="00A1621D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6586C" w:rsidRPr="00E6586C" w:rsidRDefault="00E6586C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C7FEE" w:rsidRPr="00E6586C" w:rsidRDefault="003C7FEE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E6586C" w:rsidRPr="00E6586C" w:rsidRDefault="00E6586C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E6586C" w:rsidRDefault="00E6586C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C65AB" w:rsidRDefault="002C65AB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C65AB" w:rsidRDefault="002C65AB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C65AB" w:rsidRDefault="002C65AB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C65AB" w:rsidRDefault="002C65AB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C65AB" w:rsidRDefault="002C65AB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C65AB" w:rsidRDefault="002C65AB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C65AB" w:rsidRPr="00E6586C" w:rsidRDefault="002C65AB" w:rsidP="00E6586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bookmarkStart w:id="0" w:name="_GoBack"/>
      <w:bookmarkEnd w:id="0"/>
    </w:p>
    <w:p w:rsidR="00A1621D" w:rsidRPr="00A1621D" w:rsidRDefault="00A1621D" w:rsidP="00A1621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Додаток</w:t>
      </w:r>
    </w:p>
    <w:p w:rsidR="00A1621D" w:rsidRPr="00A1621D" w:rsidRDefault="00A1621D" w:rsidP="00A1621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до рішення виконавчого</w:t>
      </w:r>
    </w:p>
    <w:p w:rsidR="00A1621D" w:rsidRPr="00A1621D" w:rsidRDefault="00A1621D" w:rsidP="00A1621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комітету міської ради</w:t>
      </w:r>
    </w:p>
    <w:p w:rsidR="00A1621D" w:rsidRPr="00A1621D" w:rsidRDefault="00A1621D" w:rsidP="00A1621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1621D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від 20.01.2022 року №1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8</w:t>
      </w:r>
    </w:p>
    <w:p w:rsidR="00E6586C" w:rsidRDefault="00E6586C" w:rsidP="00E6586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3C7FEE" w:rsidRPr="00E6586C" w:rsidRDefault="003C7FEE" w:rsidP="00E6586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E6586C" w:rsidRPr="00E6586C" w:rsidRDefault="00E6586C" w:rsidP="00E658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6586C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Порядок організації виконання безоплатних</w:t>
      </w:r>
    </w:p>
    <w:p w:rsidR="00E6586C" w:rsidRPr="00E6586C" w:rsidRDefault="00E6586C" w:rsidP="00E658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6586C">
        <w:rPr>
          <w:rFonts w:ascii="Times New Roman" w:eastAsia="Calibri" w:hAnsi="Times New Roman" w:cs="Times New Roman"/>
          <w:b/>
          <w:noProof w:val="0"/>
          <w:sz w:val="28"/>
          <w:szCs w:val="28"/>
        </w:rPr>
        <w:t>суспільно корисних робіт для засуджених</w:t>
      </w:r>
    </w:p>
    <w:p w:rsidR="00E6586C" w:rsidRPr="00E6586C" w:rsidRDefault="00E6586C" w:rsidP="00E6586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6586C" w:rsidRPr="00E6586C" w:rsidRDefault="00E6586C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Громадські роботи полягають у виконанні засудженим у вільний </w:t>
      </w:r>
    </w:p>
    <w:p w:rsidR="0005225F" w:rsidRDefault="00E6586C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від роботи чи навчання час безоплатних суспільно корисних робіт, тобто, якщо порушник працює на основному місці роботи, керівник підприємства має надавати йому години для відпрацювання громадських робіт до 9.00 год. </w:t>
      </w:r>
    </w:p>
    <w:p w:rsidR="00E6586C" w:rsidRPr="00E6586C" w:rsidRDefault="00E6586C" w:rsidP="00E6586C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та після 18.00 год. </w:t>
      </w:r>
    </w:p>
    <w:p w:rsidR="00E6586C" w:rsidRPr="00E6586C" w:rsidRDefault="00E6586C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Відповідно до визначеного переліку підприємств, на яких засуджені відбувають громадські роботи, відповідний відділ філії Державної установи «Центр </w:t>
      </w:r>
      <w:proofErr w:type="spellStart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пробації</w:t>
      </w:r>
      <w:proofErr w:type="spellEnd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» у Вінницькій області у десятиденний строк з дня отримання постанови суду видає засудженому направлення на одне з цих підприємств. Для початку виконання безоплатних суспільно корисних робіт відповідний відділ філії Державної установи «Центр </w:t>
      </w:r>
      <w:proofErr w:type="spellStart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пробації</w:t>
      </w:r>
      <w:proofErr w:type="spellEnd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» у Вінницькій області надсилає на підприємство направлення стосовно особи, на яку покладено виконання громадських робіт. В направленні зазначається підстава виконання громадських робіт, прізвище, ім</w:t>
      </w:r>
      <w:r w:rsidR="001A4CC9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’</w:t>
      </w: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я, по батькові особи, що направляється, встановлений термін виконання громадських робіт, термін прибуття особи для виконання громадських робіт. Керівник підприємства погоджує з відповідним відділом філії Державної установи «Центр </w:t>
      </w:r>
      <w:proofErr w:type="spellStart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пробації</w:t>
      </w:r>
      <w:proofErr w:type="spellEnd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»</w:t>
      </w:r>
      <w:r w:rsidR="0005225F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у Вінницькій області перелік </w:t>
      </w:r>
      <w:r w:rsidR="001A4CC9"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об</w:t>
      </w:r>
      <w:r w:rsidR="007474F2" w:rsidRPr="00923920">
        <w:rPr>
          <w:rFonts w:ascii="Times New Roman" w:eastAsia="Arial Unicode MS" w:hAnsi="Times New Roman" w:cs="Times New Roman"/>
          <w:noProof w:val="0"/>
          <w:sz w:val="28"/>
          <w:szCs w:val="28"/>
          <w:lang w:eastAsia="uk-UA"/>
        </w:rPr>
        <w:t>’</w:t>
      </w:r>
      <w:r w:rsidR="001A4CC9"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єктів</w:t>
      </w: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та вид громадських робіт. Після погодження переліку </w:t>
      </w:r>
      <w:r w:rsidR="001A4CC9">
        <w:rPr>
          <w:rFonts w:ascii="Times New Roman" w:eastAsia="Calibri" w:hAnsi="Times New Roman" w:cs="Times New Roman"/>
          <w:noProof w:val="0"/>
          <w:sz w:val="28"/>
          <w:szCs w:val="28"/>
        </w:rPr>
        <w:t>об’</w:t>
      </w:r>
      <w:r w:rsidR="001A4CC9" w:rsidRPr="008B7735">
        <w:rPr>
          <w:rFonts w:ascii="Times New Roman" w:eastAsia="Calibri" w:hAnsi="Times New Roman" w:cs="Times New Roman"/>
          <w:noProof w:val="0"/>
          <w:sz w:val="28"/>
          <w:szCs w:val="28"/>
        </w:rPr>
        <w:t>єктів</w:t>
      </w: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та видів громадських робіт керівник підприємства видає наказ про початок відбування покарання засудженим, закріплення за ним відповідальної особи, ознайомлення засудженого з правилами техніки безпеки при виконанні громадських робіт. На строк громадських робіт керівником підприємства складається графік, в якому поденно зазначаються час та місце відбування таких робіт. Витяг з наказу та графік завіряються підписом керівника та печаткою підприємства і того самого дня надсилаються до відповідного відділу філії Державної установи «Центр </w:t>
      </w:r>
      <w:proofErr w:type="spellStart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пробації</w:t>
      </w:r>
      <w:proofErr w:type="spellEnd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» у Вінницькій області. До відбутого строку громадських робіт зараховується тільки той час, протягом якого засуджений виконував суспільно корисну працю на визначених об</w:t>
      </w:r>
      <w:r w:rsidR="001A4CC9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’</w:t>
      </w: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єктах, що підтверджено повідомленням керівника підприємства. Керівником підприємства заповнюється табель виходу на роботу. </w:t>
      </w:r>
    </w:p>
    <w:p w:rsidR="003C7FEE" w:rsidRDefault="00E6586C" w:rsidP="00E6586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Після відпрацювання засудженим встановлених судом кількості годин громадських робіт, керівником підприємства видається наказ про припинення виконання. Інформація про кількість відпрацьованих засудженим годин та наказ про припинення громадських робіт в зв</w:t>
      </w:r>
      <w:r w:rsidR="001A4CC9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’</w:t>
      </w: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язку з відбуттям громадських робіт завіряються підписом керівника і печаткою підприємства та з супровідним листом надсилаються до відповідного відділу філії Державної </w:t>
      </w:r>
    </w:p>
    <w:p w:rsidR="003C7FEE" w:rsidRDefault="003C7FEE" w:rsidP="003C7FEE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3C7FEE" w:rsidRDefault="003C7FEE" w:rsidP="003C7FEE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E6586C" w:rsidRPr="00E6586C" w:rsidRDefault="00E6586C" w:rsidP="003C7FEE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установи «Центр </w:t>
      </w:r>
      <w:proofErr w:type="spellStart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пробації</w:t>
      </w:r>
      <w:proofErr w:type="spellEnd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» у Вінницькій області одразу після відбуття засудженим громадських робіт. У разі потреби, відповідний відділ філії Державної установи «Центр </w:t>
      </w:r>
      <w:proofErr w:type="spellStart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пробації</w:t>
      </w:r>
      <w:proofErr w:type="spellEnd"/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» у Вінницькій області здійснює контрольну перевірку за місцем відбування засудженим громадських робіт. За результатами перевірки складається акт у двох примірниках, один з яких залишається на підприємстві, а другий з відміткою про ознайомлення власника підприємства зберігається в особовій справі засудженого.</w:t>
      </w:r>
      <w:r w:rsidRPr="00E6586C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  <w:t xml:space="preserve"> </w:t>
      </w:r>
    </w:p>
    <w:p w:rsidR="00E6586C" w:rsidRPr="00E6586C" w:rsidRDefault="00E6586C" w:rsidP="00E6586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E6586C" w:rsidRPr="00E6586C" w:rsidRDefault="00E6586C" w:rsidP="00E6586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E6586C" w:rsidRDefault="00E6586C" w:rsidP="00E6586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A4CC9" w:rsidRDefault="001A4CC9" w:rsidP="00E6586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A4CC9" w:rsidRDefault="001A4CC9" w:rsidP="00E6586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A4CC9" w:rsidRDefault="001A4CC9" w:rsidP="00E6586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A4CC9" w:rsidRPr="00E6586C" w:rsidRDefault="001A4CC9" w:rsidP="00E6586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E6586C" w:rsidRPr="00E6586C" w:rsidRDefault="001A4CC9" w:rsidP="00E6586C">
      <w:pPr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К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еруючий справами виконкому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E6586C" w:rsidRPr="00E6586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Володимир ВЕРБОВИЙ   </w:t>
      </w:r>
    </w:p>
    <w:p w:rsidR="00E6586C" w:rsidRPr="00E6586C" w:rsidRDefault="00E6586C" w:rsidP="00E6586C">
      <w:pPr>
        <w:rPr>
          <w:rFonts w:ascii="Calibri" w:eastAsia="Calibri" w:hAnsi="Calibri" w:cs="Times New Roman"/>
          <w:noProof w:val="0"/>
          <w:lang w:val="ru-RU"/>
        </w:rPr>
      </w:pPr>
    </w:p>
    <w:p w:rsidR="004B53E1" w:rsidRPr="00E6586C" w:rsidRDefault="004B53E1">
      <w:pPr>
        <w:rPr>
          <w:lang w:val="ru-RU"/>
        </w:rPr>
      </w:pPr>
    </w:p>
    <w:sectPr w:rsidR="004B53E1" w:rsidRPr="00E6586C" w:rsidSect="00BA0DE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C3" w:rsidRDefault="007457C3" w:rsidP="007457C3">
      <w:pPr>
        <w:spacing w:after="0" w:line="240" w:lineRule="auto"/>
      </w:pPr>
      <w:r>
        <w:separator/>
      </w:r>
    </w:p>
  </w:endnote>
  <w:endnote w:type="continuationSeparator" w:id="0">
    <w:p w:rsidR="007457C3" w:rsidRDefault="007457C3" w:rsidP="0074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C3" w:rsidRDefault="007457C3" w:rsidP="007457C3">
      <w:pPr>
        <w:spacing w:after="0" w:line="240" w:lineRule="auto"/>
      </w:pPr>
      <w:r>
        <w:separator/>
      </w:r>
    </w:p>
  </w:footnote>
  <w:footnote w:type="continuationSeparator" w:id="0">
    <w:p w:rsidR="007457C3" w:rsidRDefault="007457C3" w:rsidP="0074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8BD"/>
    <w:multiLevelType w:val="hybridMultilevel"/>
    <w:tmpl w:val="6682F2BC"/>
    <w:lvl w:ilvl="0" w:tplc="1CEE24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369A"/>
    <w:multiLevelType w:val="hybridMultilevel"/>
    <w:tmpl w:val="850CAE98"/>
    <w:lvl w:ilvl="0" w:tplc="4112D4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C4A66"/>
    <w:multiLevelType w:val="hybridMultilevel"/>
    <w:tmpl w:val="8F460A74"/>
    <w:lvl w:ilvl="0" w:tplc="601807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5"/>
    <w:rsid w:val="0005225F"/>
    <w:rsid w:val="00064410"/>
    <w:rsid w:val="00091C0B"/>
    <w:rsid w:val="000C2A1E"/>
    <w:rsid w:val="001A4CC9"/>
    <w:rsid w:val="002C65AB"/>
    <w:rsid w:val="003C7FEE"/>
    <w:rsid w:val="00432812"/>
    <w:rsid w:val="00496DB7"/>
    <w:rsid w:val="004A1FA4"/>
    <w:rsid w:val="004B53E1"/>
    <w:rsid w:val="007457C3"/>
    <w:rsid w:val="007474F2"/>
    <w:rsid w:val="00923920"/>
    <w:rsid w:val="00A1621D"/>
    <w:rsid w:val="00BA0DE6"/>
    <w:rsid w:val="00E47485"/>
    <w:rsid w:val="00E56A8A"/>
    <w:rsid w:val="00E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E6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239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7C3"/>
    <w:rPr>
      <w:noProof/>
      <w:lang w:val="uk-UA"/>
    </w:rPr>
  </w:style>
  <w:style w:type="paragraph" w:styleId="a8">
    <w:name w:val="footer"/>
    <w:basedOn w:val="a"/>
    <w:link w:val="a9"/>
    <w:uiPriority w:val="99"/>
    <w:unhideWhenUsed/>
    <w:rsid w:val="0074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7C3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E6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239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7C3"/>
    <w:rPr>
      <w:noProof/>
      <w:lang w:val="uk-UA"/>
    </w:rPr>
  </w:style>
  <w:style w:type="paragraph" w:styleId="a8">
    <w:name w:val="footer"/>
    <w:basedOn w:val="a"/>
    <w:link w:val="a9"/>
    <w:uiPriority w:val="99"/>
    <w:unhideWhenUsed/>
    <w:rsid w:val="0074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7C3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CE93-F2B5-4343-AED9-17D70B3B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</cp:revision>
  <cp:lastPrinted>2022-01-24T07:24:00Z</cp:lastPrinted>
  <dcterms:created xsi:type="dcterms:W3CDTF">2022-01-20T13:06:00Z</dcterms:created>
  <dcterms:modified xsi:type="dcterms:W3CDTF">2022-01-24T13:03:00Z</dcterms:modified>
</cp:coreProperties>
</file>