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77" w:rsidRPr="00605C69" w:rsidRDefault="00422F77" w:rsidP="00422F77">
      <w:pPr>
        <w:pStyle w:val="a3"/>
        <w:ind w:left="567"/>
        <w:rPr>
          <w:rFonts w:ascii="Georgia" w:hAnsi="Georgia"/>
          <w:b/>
          <w:sz w:val="28"/>
          <w:szCs w:val="28"/>
        </w:rPr>
      </w:pPr>
      <w:r w:rsidRPr="00605C69">
        <w:rPr>
          <w:rFonts w:ascii="Georgia" w:hAnsi="Georgia"/>
          <w:noProof/>
          <w:sz w:val="28"/>
          <w:szCs w:val="28"/>
          <w:lang w:eastAsia="ru-RU"/>
        </w:rPr>
        <w:t xml:space="preserve">                                                          </w:t>
      </w:r>
      <w:r w:rsidRPr="00605C69">
        <w:rPr>
          <w:rFonts w:ascii="Georgia" w:hAnsi="Georgia"/>
          <w:noProof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2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77" w:rsidRPr="00605C69" w:rsidRDefault="00422F77" w:rsidP="00422F77">
      <w:pPr>
        <w:pStyle w:val="a5"/>
        <w:spacing w:before="120"/>
        <w:outlineLvl w:val="0"/>
        <w:rPr>
          <w:rFonts w:ascii="Georgia" w:hAnsi="Georgia"/>
          <w:b w:val="0"/>
          <w:bCs w:val="0"/>
          <w:smallCaps/>
          <w:color w:val="auto"/>
        </w:rPr>
      </w:pPr>
      <w:r w:rsidRPr="00605C69">
        <w:rPr>
          <w:rFonts w:ascii="Georgia" w:hAnsi="Georgia"/>
          <w:bCs w:val="0"/>
          <w:i/>
          <w:smallCaps/>
          <w:color w:val="auto"/>
        </w:rPr>
        <w:t xml:space="preserve">   УКРАЇНА</w:t>
      </w:r>
      <w:r w:rsidRPr="00605C69">
        <w:rPr>
          <w:rFonts w:ascii="Georgia" w:hAnsi="Georgia"/>
          <w:bCs w:val="0"/>
          <w:i/>
          <w:smallCaps/>
          <w:color w:val="auto"/>
        </w:rPr>
        <w:br/>
      </w:r>
      <w:r w:rsidRPr="00605C69">
        <w:rPr>
          <w:rFonts w:ascii="Georgia" w:hAnsi="Georgia"/>
          <w:b w:val="0"/>
          <w:bCs w:val="0"/>
          <w:smallCaps/>
          <w:color w:val="auto"/>
        </w:rPr>
        <w:t xml:space="preserve">          МОГИЛІВ-ПОДІЛЬСЬКА МІСЬКА РАДА</w:t>
      </w:r>
      <w:r w:rsidRPr="00605C69">
        <w:rPr>
          <w:rFonts w:ascii="Georgia" w:hAnsi="Georgia"/>
          <w:bCs w:val="0"/>
          <w:smallCaps/>
          <w:color w:val="auto"/>
        </w:rPr>
        <w:br/>
      </w:r>
      <w:r w:rsidRPr="00605C69">
        <w:rPr>
          <w:rFonts w:ascii="Georgia" w:hAnsi="Georgia"/>
          <w:b w:val="0"/>
          <w:bCs w:val="0"/>
          <w:smallCaps/>
          <w:color w:val="auto"/>
        </w:rPr>
        <w:t xml:space="preserve">        ВІННИЦЬКОЇ ОБЛАСТІ</w:t>
      </w:r>
    </w:p>
    <w:p w:rsidR="00422F77" w:rsidRPr="00605C69" w:rsidRDefault="00CA39A1" w:rsidP="00422F77">
      <w:pPr>
        <w:pStyle w:val="a5"/>
        <w:rPr>
          <w:rFonts w:ascii="Georgia" w:hAnsi="Georgia"/>
          <w:color w:val="auto"/>
        </w:rPr>
      </w:pPr>
      <w:r w:rsidRPr="00CA39A1">
        <w:rPr>
          <w:color w:val="auto"/>
        </w:rPr>
        <w:pict>
          <v:line id="Пряма сполучна лінія 5" o:spid="_x0000_s1026" style="position:absolute;left:0;text-align:left;z-index:251658240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422F77" w:rsidRPr="00605C69" w:rsidRDefault="00422F77" w:rsidP="00422F77">
      <w:pPr>
        <w:pStyle w:val="a5"/>
        <w:rPr>
          <w:i/>
          <w:color w:val="auto"/>
          <w:sz w:val="32"/>
          <w:szCs w:val="32"/>
        </w:rPr>
      </w:pPr>
      <w:r w:rsidRPr="00605C69">
        <w:rPr>
          <w:rFonts w:ascii="Georgia" w:hAnsi="Georgia"/>
          <w:i/>
          <w:color w:val="auto"/>
          <w:sz w:val="32"/>
          <w:szCs w:val="32"/>
        </w:rPr>
        <w:t xml:space="preserve">   Р І Ш Е Н Н Я  №</w:t>
      </w:r>
      <w:r w:rsidRPr="00605C69">
        <w:rPr>
          <w:i/>
          <w:color w:val="auto"/>
          <w:sz w:val="32"/>
          <w:szCs w:val="32"/>
        </w:rPr>
        <w:t>219</w:t>
      </w:r>
    </w:p>
    <w:p w:rsidR="00422F77" w:rsidRPr="00605C69" w:rsidRDefault="00422F77" w:rsidP="00422F77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422F77" w:rsidRPr="00605C69" w:rsidTr="0020340F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2F77" w:rsidRPr="00605C69" w:rsidRDefault="00422F77" w:rsidP="002034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5C69">
              <w:rPr>
                <w:rFonts w:ascii="Times New Roman" w:hAnsi="Times New Roman"/>
                <w:sz w:val="28"/>
                <w:szCs w:val="28"/>
              </w:rPr>
              <w:t xml:space="preserve">        Від 19.07.2016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2F77" w:rsidRPr="00605C69" w:rsidRDefault="00422F77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C69">
              <w:rPr>
                <w:rFonts w:ascii="Times New Roman" w:hAnsi="Times New Roman"/>
                <w:sz w:val="28"/>
                <w:szCs w:val="28"/>
              </w:rPr>
              <w:t>9 сесії</w:t>
            </w:r>
          </w:p>
          <w:p w:rsidR="00422F77" w:rsidRPr="00605C69" w:rsidRDefault="00422F77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422F77" w:rsidRPr="00605C69" w:rsidRDefault="00422F77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C69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422F77" w:rsidRPr="00605C69" w:rsidRDefault="00422F77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422F77" w:rsidRPr="00605C69" w:rsidRDefault="00422F77" w:rsidP="0020340F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422F77" w:rsidRPr="00605C69" w:rsidRDefault="00422F77" w:rsidP="0020340F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F77" w:rsidRPr="00605C69" w:rsidRDefault="00422F77" w:rsidP="0020340F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676EFF" w:rsidRPr="00605C69" w:rsidRDefault="00422F77" w:rsidP="0067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C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6EFF" w:rsidRPr="00605C69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Порядку списання основних засобів з балансів підприємств, установ та організацій комунальної власності територіальної громади міста Могилева – </w:t>
      </w:r>
      <w:r w:rsidRPr="00605C69">
        <w:rPr>
          <w:rFonts w:ascii="Times New Roman" w:hAnsi="Times New Roman"/>
          <w:b/>
          <w:sz w:val="28"/>
          <w:szCs w:val="28"/>
          <w:lang w:val="uk-UA"/>
        </w:rPr>
        <w:t>Подільського</w:t>
      </w:r>
    </w:p>
    <w:p w:rsidR="00676EFF" w:rsidRPr="00605C69" w:rsidRDefault="00676EFF" w:rsidP="0067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6EFF" w:rsidRPr="00605C69" w:rsidRDefault="00676EFF" w:rsidP="00422F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C69">
        <w:rPr>
          <w:rFonts w:ascii="Times New Roman" w:hAnsi="Times New Roman"/>
          <w:sz w:val="28"/>
          <w:szCs w:val="28"/>
          <w:lang w:val="uk-UA"/>
        </w:rPr>
        <w:tab/>
        <w:t xml:space="preserve">Керуючись </w:t>
      </w:r>
      <w:r w:rsidR="00021FE0">
        <w:rPr>
          <w:rFonts w:ascii="Times New Roman" w:hAnsi="Times New Roman"/>
          <w:sz w:val="28"/>
          <w:szCs w:val="28"/>
          <w:lang w:val="uk-UA"/>
        </w:rPr>
        <w:t>ст.</w:t>
      </w:r>
      <w:r w:rsidRPr="00605C69">
        <w:rPr>
          <w:rFonts w:ascii="Times New Roman" w:hAnsi="Times New Roman"/>
          <w:sz w:val="28"/>
          <w:szCs w:val="28"/>
          <w:lang w:val="uk-UA"/>
        </w:rPr>
        <w:t>ст. 26, 60 Закону України "Про місцеве самоврядування в Україні", статті 327 Цивільного кодексу України, статті 135 Господарського кодексу України</w:t>
      </w:r>
      <w:r w:rsidR="000D493B">
        <w:rPr>
          <w:rFonts w:ascii="Times New Roman" w:hAnsi="Times New Roman"/>
          <w:sz w:val="28"/>
          <w:szCs w:val="28"/>
          <w:lang w:val="uk-UA"/>
        </w:rPr>
        <w:t>,</w:t>
      </w:r>
      <w:r w:rsidRPr="00605C69">
        <w:rPr>
          <w:rFonts w:ascii="Times New Roman" w:hAnsi="Times New Roman"/>
          <w:sz w:val="28"/>
          <w:szCs w:val="28"/>
          <w:lang w:val="uk-UA"/>
        </w:rPr>
        <w:t xml:space="preserve"> з метою вдосконалення системи управління майном, що належить до комунальної власності територіальної громади міста Могилева - Подільського,</w:t>
      </w:r>
      <w:r w:rsidR="00422F77" w:rsidRPr="00605C69">
        <w:rPr>
          <w:rFonts w:ascii="Times New Roman" w:hAnsi="Times New Roman"/>
          <w:sz w:val="28"/>
          <w:szCs w:val="28"/>
          <w:lang w:val="uk-UA"/>
        </w:rPr>
        <w:t>-</w:t>
      </w:r>
      <w:r w:rsidRPr="00605C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6EFF" w:rsidRPr="00605C69" w:rsidRDefault="00676EFF" w:rsidP="00676EF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6EFF" w:rsidRPr="00605C69" w:rsidRDefault="00422F77" w:rsidP="0067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C69">
        <w:rPr>
          <w:rFonts w:ascii="Times New Roman" w:hAnsi="Times New Roman"/>
          <w:b/>
          <w:sz w:val="28"/>
          <w:szCs w:val="28"/>
          <w:lang w:val="uk-UA"/>
        </w:rPr>
        <w:t xml:space="preserve">      міська рада</w:t>
      </w:r>
      <w:r w:rsidR="00676EFF" w:rsidRPr="00605C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5C69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676EFF" w:rsidRPr="00605C6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76EFF" w:rsidRPr="00605C69" w:rsidRDefault="00676EFF" w:rsidP="00422F77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ind w:right="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Затвердити Порядок списання основних засобів з балансів підприємств, установ та організацій комунальної власності територіальної громади міста Могилева - П</w:t>
      </w:r>
      <w:r w:rsidR="003725F0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одільського, згідно з додатком.</w:t>
      </w:r>
    </w:p>
    <w:p w:rsidR="003725F0" w:rsidRPr="00605C69" w:rsidRDefault="003725F0" w:rsidP="00422F77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ind w:right="5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Дане рішення оприлюднити на офіційному веб-сайті міської ради та в газеті «Краяни»</w:t>
      </w:r>
      <w:r w:rsidR="00422F77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676EFF" w:rsidRPr="00605C69" w:rsidRDefault="00676EFF" w:rsidP="00422F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7"/>
        <w:rPr>
          <w:rFonts w:ascii="Times New Roman" w:hAnsi="Times New Roman"/>
          <w:b/>
          <w:sz w:val="26"/>
          <w:szCs w:val="26"/>
          <w:lang w:val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Контроль за виконанням даного </w:t>
      </w:r>
      <w:r w:rsidR="00564464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рішення покласти на </w:t>
      </w:r>
      <w:r w:rsidR="00773648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секретаря міської ради, </w:t>
      </w:r>
      <w:r w:rsidR="00564464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в.о. пер</w:t>
      </w:r>
      <w:r w:rsidR="000D493B">
        <w:rPr>
          <w:rFonts w:ascii="Times New Roman" w:eastAsia="Times New Roman" w:hAnsi="Times New Roman"/>
          <w:sz w:val="28"/>
          <w:szCs w:val="28"/>
          <w:lang w:val="uk-UA" w:eastAsia="uk-UA"/>
        </w:rPr>
        <w:t>шого заступника міського голови</w:t>
      </w:r>
      <w:r w:rsidR="00564464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Гоцуляк</w:t>
      </w:r>
      <w:r w:rsidR="00773648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564464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М.В. </w:t>
      </w:r>
      <w:r w:rsidR="00773648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</w:t>
      </w:r>
      <w:r w:rsidR="003725F0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</w:t>
      </w:r>
      <w:r w:rsidR="00773648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постійну комісію з питань бюджету, економіки, промисловості та</w:t>
      </w:r>
      <w:r w:rsidR="003725F0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комунальної власності (Рижикова</w:t>
      </w:r>
      <w:r w:rsidR="00773648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В.І.).</w:t>
      </w:r>
    </w:p>
    <w:p w:rsidR="00676EFF" w:rsidRPr="00605C69" w:rsidRDefault="00676EFF" w:rsidP="00676EFF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22F77" w:rsidRDefault="00422F77" w:rsidP="00676EFF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62DD0" w:rsidRDefault="00862DD0" w:rsidP="00676EFF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62DD0" w:rsidRPr="00605C69" w:rsidRDefault="00862DD0" w:rsidP="00676EFF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76EFF" w:rsidRPr="00605C69" w:rsidRDefault="00676EFF" w:rsidP="00676EF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605C6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П. Бровко</w:t>
      </w:r>
    </w:p>
    <w:p w:rsidR="00676EFF" w:rsidRPr="00605C69" w:rsidRDefault="00676EFF" w:rsidP="00676EF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76EFF" w:rsidRPr="00605C69" w:rsidRDefault="00676EFF" w:rsidP="00676EF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76EFF" w:rsidRPr="00605C69" w:rsidRDefault="00676EFF" w:rsidP="00676E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422F77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862DD0" w:rsidRPr="00605C69" w:rsidRDefault="00862DD0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422F77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0D493B" w:rsidRDefault="000D493B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0D493B" w:rsidRPr="00605C69" w:rsidRDefault="000D493B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605C6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Додаток </w:t>
      </w: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605C6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до рішення 9 сесії </w:t>
      </w: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605C69">
        <w:rPr>
          <w:rFonts w:ascii="Times New Roman" w:hAnsi="Times New Roman"/>
          <w:noProof/>
          <w:sz w:val="28"/>
          <w:szCs w:val="28"/>
          <w:lang w:val="ru-RU" w:eastAsia="ru-RU"/>
        </w:rPr>
        <w:t>міської ради 7 скликання</w:t>
      </w: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</w:rPr>
      </w:pPr>
      <w:r w:rsidRPr="00605C69">
        <w:rPr>
          <w:rFonts w:ascii="Times New Roman" w:hAnsi="Times New Roman"/>
          <w:noProof/>
          <w:sz w:val="28"/>
          <w:szCs w:val="28"/>
        </w:rPr>
        <w:t xml:space="preserve"> від 19.07.2016 року № 219                                                                                                                                                                           </w:t>
      </w:r>
    </w:p>
    <w:p w:rsidR="00422F77" w:rsidRPr="00605C69" w:rsidRDefault="00422F77" w:rsidP="00422F77">
      <w:pPr>
        <w:pStyle w:val="1"/>
        <w:jc w:val="right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676EFF" w:rsidRPr="00605C69" w:rsidRDefault="00676EFF" w:rsidP="00676E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Порядок</w:t>
      </w:r>
      <w:r w:rsidRPr="00605C6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/>
        <w:t>списання основних засобів з балансів підприємств, установ та організацій комунальної власності територіальної громади міста Могилева - Подільського</w:t>
      </w:r>
    </w:p>
    <w:p w:rsidR="00676EFF" w:rsidRDefault="00676EFF" w:rsidP="00422F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D493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Загальна частина</w:t>
      </w:r>
    </w:p>
    <w:p w:rsidR="00C53056" w:rsidRPr="000D493B" w:rsidRDefault="00C53056" w:rsidP="00422F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Цей Порядок розроблений з метою забезпечення збереження майна комунальної власності, встановлення єдиної процедури списання основних засобів з балансів підприємств, установ та організацій, що належать до комунальної власності територіальної громади міста Могилева – Подільського, та є обов'язковим до виконання зазначеними підприємствами, установами, організаціями, а також іншими суб'єктами, які обліковують на балансах майно, що перебуває у комунальній власності територіальної громади міста Могилева - Подільського (далі - підприємства).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Цей Порядок визначає механізм списання об'єктів комунальної власності, якими є об'єкти незавершеного будівництва (незавершені капітальні інвестиції в необоротні матеріальні активи), матеріальні активи, що відповідно до законодавства визнаються основними засобами, іншими необоротними матеріальними активами (далі - майно).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Дія цього Порядку не поширюється на майно, порядок списання якого визначається окремими законами (об'єкти житлового фонду, військове майно, державний матеріальний резерв, об'єкти цивільної оборони, цілісні майнові комплекси підприємств тощо).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Списанню підлягає майно, що не може бути в установленому порядку відчужене, безоплатно передане іншим підприємствам (їх об’єднанням) та щодо якого не можуть бути застосовані інші способи управління (або їх застосування може бути економічно недоцільне), у разі, коли таке майно морально чи фізично зношене, непридатне для подальшого використання суб'єктом господарювання, зокрема у зв'язку з будівництвом, розширенням, реконструкцією і технічним переоснащенням, або пошкоджене внаслідок аварії чи стихійного лиха та відновленню не підлягає, або виявлене в результаті інвентаризації як нестача, а також втратили критерій визнання активом, визначений у статті 1 Закону України «Про бухгалтерський облік та фінансову звітність в Україні», тобто вибули з контролю підприємства, або отримання економічної вигоди від їх використання в майбутньому не очікується.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При цьому списання майна, виявленого в результаті інвентаризації як нестача, здійснюється після відшкодування його вартості, крім випадків, коли здійснити таке відшкодування неможливо.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Терміни, які використовуються у цьому Порядку, вживаються у значенні, наведеному в законодавчих актах, що регулюють питання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правового режиму власності відповідного майна та питання управління майном, його оцінки та бухгалтерського обліку, зокрема: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2.1. Основні засоби - матеріальні активи, які підприємство утримує з метою використання їх у процесі виробництва/діяльності або постачання товарів, надання послуг, передачі в оренду іншим особам, або для здійснення адміністративних і соціально-культурних функцій, очікуваний строк корисного використання (експлуатації) яких більше одного року (або операційного циклу, якщо він довший за рік)), які належать до комунальної власності територіальної громади міста Могилева - Подільського та закріплені за підприємствами на праві господарського відання, оперативного управління чи використовуються ними на умовах інших видів речових прав.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2.2. Основними засобами, відповідно до законодавства, є будинки, споруди, приміщення, машини та устаткування, транспортні засоби, обладнання, інструмент, виробничий інвентар і приладдя, господарський інвентар та інше майно тривалого використання.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Об'єкти, що зараховані на баланс підприємства під час введення в експлуатацію як основні засоби, а також обліковуються в складі основних засобів на момент затвердження цього Порядку, у разі зміни облікової політики чи критерію віднесення об'єктів до малоцінних необоротних матеріальних активів, передбаченого цим Порядком, не можуть бути в подальшому визнані малоцінними необоротними матеріальними активами і в усіх випадках списуються з балансу підприємства згідно з цим Порядком як основні засоби.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2.3. Комплект основних засобів - єдиний об'єкт обліку чи група об'єктів обліку, що враховуються в балансі підприємства і мають єдине економічне призначення. Складові частини меблів, обладнання, електронно-обчислювальних машин, приладів тощо, які обліковуються в балансі підприємства, не можуть бути списані як окремі об'єкти (крім випадків ремонту, модернізації, поліпшення, внаслідок чого відбувається вибуття окремих елементів комплекту чи їх заміна) і для цілей, передбачених цим Порядком, вважаються єдиним об'єктом обліку (об'єктом основних засобів).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2.4. Списання з балансу - виключення з бухгалтерського обліку та фінансової звітності основних засобів внаслідок втрати підприємством контролю за такими основними засобами та з інших підстав.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Знос, нарахований у розмірі 100 відсотків вартості основних засобів, не може бути безспірною підставою для їх списання.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Списання з балансу основних засобів здійснюється у результаті їх: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продажу;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безоплатної передачі (в тому числі на баланс іншого підприємства); </w:t>
      </w:r>
    </w:p>
    <w:p w:rsidR="00676EFF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ліквідації. </w:t>
      </w:r>
    </w:p>
    <w:p w:rsidR="00C53056" w:rsidRPr="00605C69" w:rsidRDefault="00C53056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D493B" w:rsidRDefault="00676EFF" w:rsidP="00422F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D493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Утворення суб'єктом господарювання комісії із списання майна, </w:t>
      </w:r>
    </w:p>
    <w:p w:rsidR="00676EFF" w:rsidRDefault="00676EFF" w:rsidP="00422F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D493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її завдання та повноваження</w:t>
      </w:r>
    </w:p>
    <w:p w:rsidR="00C53056" w:rsidRPr="000D493B" w:rsidRDefault="00C53056" w:rsidP="00422F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Для визначення непридатності матеріальних цінностей і встановлення неможливості або неефективності проведення їх відновлювального ремонту, а також для оформлення необхідної документації на списання цих цінностей, </w:t>
      </w:r>
      <w:r w:rsidR="000D493B">
        <w:rPr>
          <w:rFonts w:ascii="Times New Roman" w:eastAsia="Times New Roman" w:hAnsi="Times New Roman"/>
          <w:sz w:val="28"/>
          <w:szCs w:val="28"/>
          <w:lang w:val="uk-UA" w:eastAsia="uk-UA"/>
        </w:rPr>
        <w:t>розпорядженням (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наказом</w:t>
      </w:r>
      <w:r w:rsidR="000D493B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керівника підприємства щорічно створюється постійно діюча комісія, яка діє протягом року, у складі: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- керівника або його заступника (голова комісії);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головного бухгалтера або його заступника (на підприємствах, на яких штатним розписом посада головного бухгалтера не передбачена, особи, на яку покладено ведення бухгалтерського обліку);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керівників груп обліку (в установах, які обслуговуються централізованими бухгалтеріями) або інших працівників бухгалтерії, які обліковують матеріальні цінності;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особи, на яку покладено відповідальність за збереження матеріальних цінностей;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- працівники інженерних, технічних, технологічних, будівельних, обліково-економічних та інших служб (за рішенням керівника).</w:t>
      </w:r>
    </w:p>
    <w:p w:rsidR="00676EFF" w:rsidRPr="00605C69" w:rsidRDefault="000D493B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Розпорядження (н</w:t>
      </w:r>
      <w:r w:rsidR="00676EFF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аказ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676EFF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створення постійно діючої комісії поновлюється щорічно або за потребою.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Право визначення непридатності матеріальних цінностей і встановлення неможливості або неефективності проведення відновлювального ремонту, а також оформлення необхідної документації </w:t>
      </w:r>
      <w:r w:rsidR="000D49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розпорядженням (наказом)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наказом керівника підприємства може бути надано інвентаризаційній комісії.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6. Для участі в роботі комісії щодо встановлення непридатності автомобілів транспортних засобів, нагрівальних котлів, підйомників та інших необоротних активів, які перебувають під наглядом державних інспекцій чи органів, запрошується </w:t>
      </w:r>
      <w:r w:rsidR="000D493B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може бути залучений</w:t>
      </w:r>
      <w:r w:rsidR="00C53056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їх представник або інший фахівець, для надання кваліфікованого висновку щодо стану об’єкту списання.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У разі потреби та/або необхідності врахування галузевих особливостей списання майна для участі в роботі комісії можуть залучатися експерти та фахівці відповідних центральних і місцевих органів виконавчої влади, органів місцевого самоврядування, правоохоронних органів тощо (за згодою).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вирішення питань списання музейних цінностей або матеріальних цінностей спеціального призначення комісії створюються в порядку, визначеному чинним законодавством.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 Постійно діюча комісія підприємства: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а) проводить в установленому законодавством порядку інвентаризацію майна, що пропонується до списання, та за її результатами складає відповідний акт;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б) проводить огляд майна з використанням необхідної технічної документації (технічних паспортів, поверхових планів, відомостей про дефекти тощо), а також даних бухгалтерського обліку;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в) визначає економічну (технічну) доцільність чи недоцільність відновлення та/або подальшого використання майна і вносить відповідні пропозиції; </w:t>
      </w:r>
    </w:p>
    <w:p w:rsidR="00862DD0" w:rsidRPr="00605C69" w:rsidRDefault="00676EFF" w:rsidP="00862D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г) установлює конкретні причини списання майна (моральна застарілість чи фізична зношеність, непридатність для подальшого використання суб'єктом господарювання, зокрема у зв'язку з будівництвом, розширенням, реконструкцією і технічним переоснащенням, або пошкодження внаслідок аварії чи стихійного лиха та неможливість відновлення, або виявлення його в результаті інвентаризації як нестачі);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д) визначає можливості використання окремих вузлів, деталей, матеріалів та агрегатів об'єкта, що підлягає списанню; </w:t>
      </w:r>
    </w:p>
    <w:p w:rsidR="00862DD0" w:rsidRPr="00605C69" w:rsidRDefault="00676EFF" w:rsidP="00C530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е) здійснює контроль за вилученням з майна, що підлягає списанню, придатних вузлів, деталей, матеріалів та агрегатів, а також вузлів, деталей, матеріалів та агрегатів, що містять дорогоцінні метали і дорогоцінне каміння, визначає їх кількість, вагу та контролює здачу на склад і оприбуткування на відповідних балансових рахунках;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є) складає відповідно до законодавства акти на списання майна за встановленою типовою формою.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8. За результатами роботи складається протокол засідання комісії, до якого додаються: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а) акт інвентаризації майна, що пропонується до списання;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б) акти технічного стану майна, що пропонується до списання;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в) акти на списання майна; </w:t>
      </w:r>
      <w:r w:rsidR="00C53056">
        <w:rPr>
          <w:rFonts w:ascii="Times New Roman" w:eastAsia="Times New Roman" w:hAnsi="Times New Roman"/>
          <w:sz w:val="28"/>
          <w:szCs w:val="28"/>
          <w:lang w:val="uk-UA" w:eastAsia="uk-UA"/>
        </w:rPr>
        <w:t>за встановленою типовою формою відповідно до вимог діючого законодавства.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г) інші документи (копія акту про аварію, висновки відповідних інспекцій, державних органів тощо (за наявності)).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У протоколі засідання комісії зазначаються пропозиції щодо шляхів використання майна, списання якого за висновками комісії є недоцільним, заходи з відшкодування вартості майна, в результаті інвентаризації якого виявлена нестача, чи розукомплект</w:t>
      </w:r>
      <w:r w:rsidR="00C53056">
        <w:rPr>
          <w:rFonts w:ascii="Times New Roman" w:eastAsia="Times New Roman" w:hAnsi="Times New Roman"/>
          <w:sz w:val="28"/>
          <w:szCs w:val="28"/>
          <w:lang w:val="uk-UA" w:eastAsia="uk-UA"/>
        </w:rPr>
        <w:t>ування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Протокол засідання комісії підписується всіма членами комісії. У разі незгоди з рішенням комісії її члени мають право викласти у письмовій формі свою окрему думку, що додається до протоколу засідання.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актах технічного стану майна зазначаються рік виготовлення (будівництва) майна, дата введення в експлуатацію, обсяг проведеної роботи з модернізації, модифікації, добудови, дообладнання і реконструкції, стан основних частин, деталей і вузлів, конструктивних елементів.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акті на списання майна детально зазначаються причини його списання та робиться висновок про економічну (технічну) недоцільність та/або неможливість відновлення майна.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разі списання майна, пошкодженого внаслідок аварії, до акту на його списання додається належним чином завірена копія акту про аварію. </w:t>
      </w:r>
    </w:p>
    <w:p w:rsidR="00676EFF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9. Протокол засідання комісії, акт інвентаризації, акти на списання майна та технічного стану підписані членами комісії подаються на розгляд керівника підприємства, який приймає рішення про їх затвердження і за прийняте рішення несе персональну відповідальність.</w:t>
      </w:r>
    </w:p>
    <w:p w:rsidR="00C53056" w:rsidRPr="00605C69" w:rsidRDefault="00C53056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76EFF" w:rsidRDefault="00676EFF" w:rsidP="00422F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5305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Прийняття рішення про списання майна</w:t>
      </w:r>
    </w:p>
    <w:p w:rsidR="00C53056" w:rsidRPr="00C53056" w:rsidRDefault="00C53056" w:rsidP="00422F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10. Затверджені керівником підприємства акти на списання основних засобів є підставою для їх списання з балансу і не потребують отримання дозволу</w:t>
      </w:r>
      <w:r w:rsidR="00C530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погодження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таких випадках: </w:t>
      </w:r>
    </w:p>
    <w:p w:rsidR="00862DD0" w:rsidRPr="00605C69" w:rsidRDefault="00676EFF" w:rsidP="00862D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10.1. у разі списання малоцінних необоротних матеріальних активів (окрім випадків, передбачених підпунктом 2.2 пункту 2 цього Порядку) за умови, що вони перебували в експлуатації не менше одного року;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10.2. у разі списання основних засобів первісною вартістю за одиницю (комплект) до 10 розмірів мінімальної заробітної плати, діючої на 1 січня року, протягом якого складено акт списання, які мають 100 % нарахований знос і перебували в експлуатації не менше 10 років (окрім будівель, споруд, приміщень, передавальних пристроїв, транспортних засобів). </w:t>
      </w:r>
    </w:p>
    <w:p w:rsidR="00862DD0" w:rsidRPr="00605C69" w:rsidRDefault="00676EFF" w:rsidP="00C530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11. Акти на списання основних засобів, складені комісією і затверджені керівником підприємства, є підставою для списання основних засобів з балансу підприємства лише після отримання дозволу Могилів – Подільської міської ради в таких випадках: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Дозвіл на списання з балансу будівель (приміщень, споруд, передавальних пристроїв, транспортних засобів) вважається наданим у разі знесення, продажу, приватизації чи безоплатної передачі таких об'єктів в установленому порядку за рішенням ради.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11.1 у разі списання будівель, споруд, приміщень, передавальних пристроїв, транспортних засобів незалежно від вартості, ступеня зносу та строку експлуатації;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11.2 у разі списання об'єктів основних засобів первісною вартістю за одиницю (комплект) понад 2000 розмірів мінімальної заробітної плати, діючої на 1 січня року, протягом якого складено акт списання. </w:t>
      </w:r>
    </w:p>
    <w:p w:rsidR="00676EFF" w:rsidRPr="00605C69" w:rsidRDefault="00E4065B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12. А</w:t>
      </w:r>
      <w:r w:rsidR="00676EFF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кти про списання основних засобів, складені комісією і затверджені керівником підприємства, є підставою для списання основних засобів з балансу підприємства лише після отримання погодження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6379DE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правління з питань економіки, інвестицій та євроінтеграцій Могилів – Подільської міської ради (далі - Управління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),  крім випадків, зазначених в пунктах 10.1 та 10.2 даного Порядку.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 розгляді питання про списання об'єктів, для визначення придатності яких до експлуатації необхідні спеціальні знання, </w:t>
      </w:r>
      <w:r w:rsidR="006379DE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може вимагати надання керівником підприємства висновків посадових осіб виконавчого органу, до сфери управління яких належить підприємство, чи до предмета відання яких входить вирішення відповідних питань.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Погодження </w:t>
      </w:r>
      <w:r w:rsidR="006379DE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списання основних засобів у випадках, передбачених цим пунктом, надається листом </w:t>
      </w:r>
      <w:r w:rsidR="006379DE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. 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13. Недостачі об'єктів основних засобів, що виявлені в результаті інвентаризації: втрат від псувань, а також, коли конкретні винуватці, які допустили їх нестачу чи псування, не встановлені (втрати від нерозкритих крадіжок тощо), списуються з балансів згідно з процедурою, визначеною пунктами 10 - 12 цього Порядку, лише після ретельної перевірки керівником підприємства та постійною комісією відомостей про причини і про осіб, винних у нестачах, втратах.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документах, які підприємства подають для оформлення списання в таких випадках, слід вказати заходи, яких вжито задля попередження таких втрат.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14. При наданні дозволу (погодження) на списання основних засобів в усіх випадках, передбачених цим Порядком, визначається спосіб їх списання: продаж, безоплатна передача, ліквідація.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15. З метою прийняття рішення (отримання згоди) на списання майна, підприємство подає </w:t>
      </w:r>
      <w:r w:rsidR="00B729B0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Управлінню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разом із зверненням стосовно списання майна такі документи: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а) техніко-економічне обґрунтування необхідності списання майна, в якому містяться економічні та/або технічні розрахунки, інформація про очікуваний фінансовий результат списання майна та про те, як воно вплине на фінансовий стан підприємства, а також напрями використання коштів, які передбачається одержати в результаті списання; </w:t>
      </w:r>
    </w:p>
    <w:p w:rsidR="00862DD0" w:rsidRPr="00605C69" w:rsidRDefault="00676EFF" w:rsidP="0058413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б) відомості про майно, що пропонується списати за даними бухгалтерського обліку (крім об'єктів незавершеного будівництва), згідно з додатком 1;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в) акт інвентаризації майна, що пропонується до списання, згідно з додатком 2;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г) акт технічного стану майна, затверджений керівником суб'єкта господарювання;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д) відомості про наявність обтяжень чи обмежень стосовно розпорядження майном, що пропонується списати (оренда, застава, іпотека, арешт тощо разом з відповідними підтвердними документами);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е) відомості про земельну ділянку, на якій розташоване нерухоме майно, із зазначенням напрямів подальшого використання земельних ділянок, які вивільняються, а також копії відповідних підтвердних документів, зокрема державного акту на право постійного користування землею, кадастрового плану;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є) відомості про об'єкти незавершеного будівництва, а саме: дата початку і припинення будівництва, затверджена загальна вартість, вартість робіт, виконаних станом на дату припинення будівництва (ким і коли затверджено завдання на проектування, загальна кошторисна вартість проектно-вишукувальних робіт, кошторисна вартість проектно-вишукувальних робіт, виконаних до їх припинення, стадії виконання робіт).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розгляду пропозицій щодо продажу основних засобів підприємство додатково надає наступні документи: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Висновок про вартість майна, затверджений керівником підприємства, на підставі звіту про оцінку майна виконаного згідно з вимогами Закону України «Про оцінку майна, майнових прав та професійну оціночну діяльність в Україні» та оформленого відповідно до вимог Національного стандарту № 1 «Загальні засади оцінки майна і майнових прав», затвердженого постановою Кабінету Міністрів України від 10.09.2003 р.                 № 1440.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Разом із висновком про вартість майна надаються копії сертифікатів суб'єктів оціночної діяльності, які виконували звіт про оцінку майна та рецензію на нього, а також свідоцтв про їх реєстрацію в Державному реєстрі оцінювачів.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Після проведення оцінки забороняється здійснювати дії щодо об'єкта продажу, які можуть призвести до зміни його вартості.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разі надання неналежним чином оформлених документів або неповного пакету документів заява повертається підприємству.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16. При наявності повного пакету належно оформлених документів зазначених у п.15, </w:t>
      </w:r>
      <w:r w:rsidR="00B729B0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протягом 30 календарних днів готує проект відповідного рішення або лист про надання погодження на списання або відмови в його наданні.</w:t>
      </w:r>
    </w:p>
    <w:p w:rsidR="00650115" w:rsidRPr="00605C69" w:rsidRDefault="00676EFF" w:rsidP="0058413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17. Продаж основних засобів здійснюється в порядку, визначеному законодавством України безпосередньо підприємствами, на балансі яких вони знаходяться лише після отримання відповідного рішення (погодження).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Кошти, отримані від продажу основних засобів, спрямовуються до бюджету міста</w:t>
      </w:r>
      <w:r w:rsidR="00B729B0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Могилева - Подільського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, якщо інше не передбачено рішенням ради</w:t>
      </w:r>
      <w:r w:rsidR="0058413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18. При безоплатній передачі основних засобів підприємства комунальної власності м. </w:t>
      </w:r>
      <w:r w:rsidR="00564464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Могилева – Подільського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баланс іншого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підприє</w:t>
      </w:r>
      <w:r w:rsidR="00564464"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мства комунальної власності м. Могилева - Подільського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такі основні засоби закріплюються за ним в установленому законодавством порядку. </w:t>
      </w:r>
    </w:p>
    <w:p w:rsidR="00676EFF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19. Процедура продажу або передачі вважається закінченою з моменту підписання відповідного акту приймання-передачі.</w:t>
      </w:r>
    </w:p>
    <w:p w:rsidR="00584133" w:rsidRPr="00605C69" w:rsidRDefault="00584133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76EFF" w:rsidRDefault="00676EFF" w:rsidP="00422F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8413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Механізм списання майна шляхом ліквідації</w:t>
      </w:r>
    </w:p>
    <w:p w:rsidR="00584133" w:rsidRPr="00584133" w:rsidRDefault="00584133" w:rsidP="00422F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20. Ліквідація основних засобів дозволяється тільки після отримання відповідного рішення</w:t>
      </w:r>
      <w:r w:rsidR="005841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ради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списання основних засобів (якщо їх отримання є обов'язковим згідно з цим Порядком), а також щодо основних засобів, які не були продані.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21. Розбирання, демонтаж та списання майна,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підприємством, на балансі якого перебуває майно.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22. Усі вузли, деталі, матеріали та агрегати розібраного та демонтованого обладнання, придатні для ремонту іншого обладнання чи для подальшого використання, а також матеріали, отримані в результаті списання майна, оприбутковуються з відображенням на рахунках бухгалтерського обліку запасів.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Непридатні для використання вузли, деталі, матеріали та агрегати оприбутковуються як вторинна сировина (металобрухт тощо).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23. Оцінка придатних вузлів, деталей, матеріалів та агрегатів, отриманих в результаті списання майна, проводиться відповідно до законодавства.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24. Вилучені після демонтажу та розбирання майна вузли, деталі, матеріали та агрегати, що містять дорогоцінні метали і дорогоцінне каміння, підлягають здачі суб'єктам господарювання, які провадять діяльність із збирання та первинної обробки брухту і відходів дорогоцінних металів і дорогоцінного каміння на підставі ліцензій, одержаних відповідно до вимог Закону України "Про ліцензування певних видів господарської діяльності".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25. Забороняється знищувати, здавати в брухт з кольорових і чорних металів техніку, апаратуру, прилади та інші вироби, що містять дорогоцінні метали і дорогоцінне каміння, без попереднього їх вилучення та одночасного оприбуткування придатних для подальшого використання деталей.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26. Підприємства, на балансі яких перебувало майно, подають суб'єктам управління у місячний строк після закінчення процедури розбирання, демонтажу та оприбуткування звіт про списання майна згідно з додатком 3.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27. Процедура списання майна вважається закінченою з моменту подання підприємством </w:t>
      </w:r>
      <w:r w:rsidR="00584133">
        <w:rPr>
          <w:rFonts w:ascii="Times New Roman" w:eastAsia="Times New Roman" w:hAnsi="Times New Roman"/>
          <w:sz w:val="28"/>
          <w:szCs w:val="28"/>
          <w:lang w:val="uk-UA" w:eastAsia="uk-UA"/>
        </w:rPr>
        <w:t>міському голові звіту про списання майна, підписаного комісією та затвердженого</w:t>
      </w:r>
      <w:r w:rsidR="0081203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керівником.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650115" w:rsidRPr="00605C69" w:rsidRDefault="00676EFF" w:rsidP="008120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28. Керівник підприємства та члени комісії забезпечують згідно із законодавством подання </w:t>
      </w:r>
      <w:r w:rsidR="00812036">
        <w:rPr>
          <w:rFonts w:ascii="Times New Roman" w:eastAsia="Times New Roman" w:hAnsi="Times New Roman"/>
          <w:sz w:val="28"/>
          <w:szCs w:val="28"/>
          <w:lang w:val="uk-UA" w:eastAsia="uk-UA"/>
        </w:rPr>
        <w:t>міському голові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достовірних матеріалів, передбачених цим Порядком. </w:t>
      </w:r>
    </w:p>
    <w:p w:rsidR="00812036" w:rsidRDefault="00676EFF" w:rsidP="006501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29. Керівник суб'єкта господарювання організовує та забезпечує дотримання процедури списання майна відповідно до цього Порядку.</w:t>
      </w:r>
    </w:p>
    <w:p w:rsidR="00B405C1" w:rsidRDefault="00B405C1" w:rsidP="006501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405C1" w:rsidRDefault="00B405C1" w:rsidP="006501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405C1" w:rsidRDefault="00B405C1" w:rsidP="006501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405C1" w:rsidRDefault="00B405C1" w:rsidP="006501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30. </w:t>
      </w:r>
      <w:r w:rsidR="00DE33FE">
        <w:rPr>
          <w:rFonts w:ascii="Times New Roman" w:eastAsia="Times New Roman" w:hAnsi="Times New Roman"/>
          <w:sz w:val="28"/>
          <w:szCs w:val="28"/>
          <w:lang w:val="uk-UA" w:eastAsia="uk-UA"/>
        </w:rPr>
        <w:t>Кошти, одержані внаслідок списання майна, спрямовуються на оновлення матеріально – технічної бази комунальних підприємств, установ, закладів.</w:t>
      </w:r>
    </w:p>
    <w:p w:rsidR="00B405C1" w:rsidRDefault="00B405C1" w:rsidP="0065011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31.</w:t>
      </w:r>
      <w:r w:rsidR="00DE33F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Амортизаційні відрахування по комунальному підприємству спрямовуються на оновлення та модернізацію матеріально – технічної бази.</w:t>
      </w:r>
    </w:p>
    <w:p w:rsidR="00812036" w:rsidRPr="00605C69" w:rsidRDefault="00B405C1" w:rsidP="00DE3D4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32.</w:t>
      </w:r>
      <w:r w:rsidR="00DE3D4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Міський голова забезпечує у межах своїх повноважень та відповідно до законодавства здійснення контролю за дотриманням вимог цього Порядку та цільовим використанням коштів.</w:t>
      </w:r>
    </w:p>
    <w:p w:rsidR="00B405C1" w:rsidRPr="00605C69" w:rsidRDefault="00676EFF" w:rsidP="00DE33F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B405C1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Списання основних засобів проводиться за первісною або переоціненою вартістю (у разі проведення індексації або переоцінки матеріальних цінностей) та сумою накопиченої амортизації (зносу), які вказуються в усіх документах, пов'язаних зі списанням основних засобів (актах, дозволах, висновках спеціалістів та інших). </w:t>
      </w:r>
    </w:p>
    <w:p w:rsidR="00676EFF" w:rsidRPr="00605C69" w:rsidRDefault="00676EFF" w:rsidP="00422F7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B405C1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B405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Посадові </w:t>
      </w: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соби, винні в порушенні цього Порядку, несуть відповідальність згідно з чинним законодавством. </w:t>
      </w:r>
    </w:p>
    <w:p w:rsidR="00676EFF" w:rsidRPr="00605C69" w:rsidRDefault="00676EFF" w:rsidP="00422F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5C69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</w:p>
    <w:p w:rsidR="00422F77" w:rsidRPr="00605C69" w:rsidRDefault="00422F77" w:rsidP="00422F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22F77" w:rsidRPr="00605C69" w:rsidRDefault="00422F77" w:rsidP="00422F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05C69" w:rsidRDefault="00605C69" w:rsidP="00422F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62DD0" w:rsidRPr="00605C69" w:rsidRDefault="00862DD0" w:rsidP="00422F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76EFF" w:rsidRPr="00605C69" w:rsidRDefault="00650115" w:rsidP="00422F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05C69" w:rsidRPr="00605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43A" w:rsidRPr="00605C69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</w:t>
      </w:r>
      <w:bookmarkStart w:id="0" w:name="_GoBack"/>
      <w:bookmarkEnd w:id="0"/>
      <w:r w:rsidR="00676EFF" w:rsidRPr="00605C69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422F77" w:rsidRPr="00605C6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676EFF" w:rsidRPr="00605C69">
        <w:rPr>
          <w:rFonts w:ascii="Times New Roman" w:hAnsi="Times New Roman"/>
          <w:sz w:val="28"/>
          <w:szCs w:val="28"/>
          <w:lang w:val="uk-UA"/>
        </w:rPr>
        <w:t xml:space="preserve">     М. Гоцуляк</w:t>
      </w:r>
    </w:p>
    <w:p w:rsidR="00676EFF" w:rsidRPr="00605C69" w:rsidRDefault="00676EFF" w:rsidP="00422F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283" w:rsidRDefault="005A3283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</w:pPr>
    </w:p>
    <w:p w:rsidR="00915AC7" w:rsidRDefault="00915AC7" w:rsidP="00422F77">
      <w:pPr>
        <w:spacing w:after="0" w:line="240" w:lineRule="auto"/>
        <w:rPr>
          <w:lang w:val="uk-UA"/>
        </w:rPr>
        <w:sectPr w:rsidR="00915AC7" w:rsidSect="00862DD0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00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25"/>
      </w:tblGrid>
      <w:tr w:rsidR="00915AC7" w:rsidRPr="00AB5E2D" w:rsidTr="00C861F2">
        <w:trPr>
          <w:tblCellSpacing w:w="22" w:type="dxa"/>
        </w:trPr>
        <w:tc>
          <w:tcPr>
            <w:tcW w:w="0" w:type="auto"/>
          </w:tcPr>
          <w:p w:rsidR="00915AC7" w:rsidRPr="00915AC7" w:rsidRDefault="00915AC7" w:rsidP="00C861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915AC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lastRenderedPageBreak/>
              <w:t>Додаток № 1</w:t>
            </w:r>
            <w:r w:rsidRPr="00915AC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br/>
              <w:t>до Порядку </w:t>
            </w:r>
          </w:p>
        </w:tc>
      </w:tr>
    </w:tbl>
    <w:p w:rsidR="00915AC7" w:rsidRDefault="00915AC7" w:rsidP="00915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p w:rsidR="00915AC7" w:rsidRDefault="00915AC7" w:rsidP="00915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915AC7" w:rsidRPr="00AB5E2D" w:rsidRDefault="00915AC7" w:rsidP="00915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ВІДОМІСТЬ</w:t>
      </w:r>
      <w:r w:rsidRPr="00AB5E2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br/>
        <w:t>про об'єкти комунальної власності, що пропонуються до списання станом на ___ ____________ 20__ р.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09"/>
        <w:gridCol w:w="1637"/>
        <w:gridCol w:w="1585"/>
        <w:gridCol w:w="911"/>
        <w:gridCol w:w="1341"/>
        <w:gridCol w:w="1395"/>
        <w:gridCol w:w="1629"/>
        <w:gridCol w:w="1370"/>
        <w:gridCol w:w="1056"/>
        <w:gridCol w:w="1061"/>
        <w:gridCol w:w="1407"/>
      </w:tblGrid>
      <w:tr w:rsidR="00915AC7" w:rsidRPr="00AB5E2D" w:rsidTr="00C861F2">
        <w:trPr>
          <w:tblCellSpacing w:w="22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Порядковий номер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об'єкта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Рік випуску / дата введення в експлуатацію 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Номер об'єкта 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Інформація про проведення модернізації, модифікації, добудови, дообладнання, реконструкції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Вартість здійснених капітальних інвестицій, гривень 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Первісна (перео-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цінена) вартість, гривень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Сума нара-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хованого зносу, гривень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Балансова (залишкова) вартість, гривень </w:t>
            </w:r>
          </w:p>
        </w:tc>
      </w:tr>
      <w:tr w:rsidR="00915AC7" w:rsidRPr="00AB5E2D" w:rsidTr="00C861F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інвен-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тарний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заводський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паспортний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915AC7" w:rsidRPr="00AB5E2D" w:rsidTr="00C861F2">
        <w:trPr>
          <w:tblCellSpacing w:w="22" w:type="dxa"/>
          <w:jc w:val="center"/>
        </w:trPr>
        <w:tc>
          <w:tcPr>
            <w:tcW w:w="0" w:type="auto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Усього 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Дані про дорогоцінні метали ____________________________________________________________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   (подаються у разі їх наявності за кожним об'єктом)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_____________________________________________________________________________________ </w:t>
            </w: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7"/>
        <w:gridCol w:w="3485"/>
        <w:gridCol w:w="3508"/>
      </w:tblGrid>
      <w:tr w:rsidR="00915AC7" w:rsidRPr="00AB5E2D" w:rsidTr="00C861F2">
        <w:trPr>
          <w:tblCellSpacing w:w="22" w:type="dxa"/>
          <w:jc w:val="center"/>
        </w:trPr>
        <w:tc>
          <w:tcPr>
            <w:tcW w:w="16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Головний бухгалтер </w:t>
            </w:r>
          </w:p>
        </w:tc>
        <w:tc>
          <w:tcPr>
            <w:tcW w:w="16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16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(ініціали та прізвище) </w:t>
            </w: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p w:rsid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  </w:t>
      </w:r>
    </w:p>
    <w:p w:rsidR="00915AC7" w:rsidRP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Pr="00915AC7" w:rsidRDefault="00915AC7" w:rsidP="00915A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15A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Секретар міської ради                                                                  М. Гоцуляк</w:t>
      </w:r>
    </w:p>
    <w:tbl>
      <w:tblPr>
        <w:tblpPr w:leftFromText="45" w:rightFromText="45" w:vertAnchor="text" w:horzAnchor="margin" w:tblpXSpec="right" w:tblpY="199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25"/>
      </w:tblGrid>
      <w:tr w:rsidR="00915AC7" w:rsidRPr="00AB5E2D" w:rsidTr="00915AC7">
        <w:trPr>
          <w:tblCellSpacing w:w="22" w:type="dxa"/>
        </w:trPr>
        <w:tc>
          <w:tcPr>
            <w:tcW w:w="0" w:type="auto"/>
          </w:tcPr>
          <w:tbl>
            <w:tblPr>
              <w:tblpPr w:leftFromText="45" w:rightFromText="45" w:vertAnchor="text" w:horzAnchor="margin" w:tblpXSpec="right" w:tblpY="-100"/>
              <w:tblW w:w="225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230"/>
            </w:tblGrid>
            <w:tr w:rsidR="00915AC7" w:rsidRPr="00AB5E2D" w:rsidTr="007972A7">
              <w:trPr>
                <w:tblCellSpacing w:w="22" w:type="dxa"/>
              </w:trPr>
              <w:tc>
                <w:tcPr>
                  <w:tcW w:w="0" w:type="auto"/>
                </w:tcPr>
                <w:p w:rsidR="00915AC7" w:rsidRPr="00915AC7" w:rsidRDefault="00915AC7" w:rsidP="00915A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uk-UA"/>
                    </w:rPr>
                  </w:pPr>
                  <w:r w:rsidRPr="00915AC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uk-UA"/>
                    </w:rPr>
                    <w:lastRenderedPageBreak/>
                    <w:t xml:space="preserve">Додаток № </w:t>
                  </w: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uk-UA"/>
                    </w:rPr>
                    <w:t>2</w:t>
                  </w:r>
                  <w:r w:rsidRPr="00915AC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 w:eastAsia="uk-UA"/>
                    </w:rPr>
                    <w:br/>
                    <w:t>до Порядку </w:t>
                  </w:r>
                </w:p>
              </w:tc>
            </w:tr>
          </w:tbl>
          <w:p w:rsidR="00915AC7" w:rsidRPr="00AB5E2D" w:rsidRDefault="00915AC7" w:rsidP="00915A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915AC7" w:rsidRPr="00AB5E2D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Pr="00AB5E2D" w:rsidRDefault="00915AC7" w:rsidP="00915AC7">
      <w:pPr>
        <w:spacing w:after="0" w:line="240" w:lineRule="auto"/>
        <w:rPr>
          <w:rFonts w:ascii="Cambria" w:eastAsia="Times New Roman" w:hAnsi="Cambria"/>
          <w:b/>
          <w:bCs/>
          <w:vanish/>
          <w:kern w:val="32"/>
          <w:sz w:val="32"/>
          <w:szCs w:val="32"/>
          <w:lang w:val="uk-UA" w:eastAsia="uk-UA"/>
        </w:rPr>
      </w:pPr>
    </w:p>
    <w:tbl>
      <w:tblPr>
        <w:tblpPr w:leftFromText="45" w:rightFromText="45" w:vertAnchor="text" w:horzAnchor="margin" w:tblpXSpec="right" w:tblpY="725"/>
        <w:tblW w:w="178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08"/>
      </w:tblGrid>
      <w:tr w:rsidR="00915AC7" w:rsidRPr="00AB5E2D" w:rsidTr="00C861F2">
        <w:trPr>
          <w:tblCellSpacing w:w="22" w:type="dxa"/>
        </w:trPr>
        <w:tc>
          <w:tcPr>
            <w:tcW w:w="0" w:type="auto"/>
          </w:tcPr>
          <w:p w:rsidR="00915AC7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15AC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ЗАТВЕРДЖУЮ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(посада керівника суб'єкта господарювання)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 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         (підпис)             (ініціали та прізвище)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 _________________20__ р.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М. П. </w:t>
            </w:r>
          </w:p>
        </w:tc>
      </w:tr>
    </w:tbl>
    <w:p w:rsid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Pr="00AB5E2D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Pr="00AB5E2D" w:rsidRDefault="00915AC7" w:rsidP="00915A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АКТ</w:t>
      </w:r>
      <w:r w:rsidRPr="00AB5E2D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br/>
        <w:t xml:space="preserve">інвентаризації об'єктів комунальної власності, що пропонуються до списання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915AC7" w:rsidRPr="00AB5E2D" w:rsidTr="00C861F2">
        <w:trPr>
          <w:tblCellSpacing w:w="22" w:type="dxa"/>
          <w:jc w:val="center"/>
        </w:trPr>
        <w:tc>
          <w:tcPr>
            <w:tcW w:w="0" w:type="auto"/>
          </w:tcPr>
          <w:p w:rsidR="00915AC7" w:rsidRPr="00AB5E2D" w:rsidRDefault="00915AC7" w:rsidP="000B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_____________________________________________________________________________________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 (найменування суб'єкта господарювання та його місцезнаходження (цеху, дільниці тощо), де проводилась інвентаризація) </w:t>
            </w:r>
          </w:p>
          <w:p w:rsidR="00915AC7" w:rsidRPr="00AB5E2D" w:rsidRDefault="00915AC7" w:rsidP="000B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підставі наказу (розпорядження) від ___ ___________ 20__ р. N 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комісією у складі ______________________________________________________________________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(посада, прізвище та ініціали членів комісії)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_____________________________________________________________________________________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проведено інвентаризацію об'єктів комунальної власності, що пропонуються до списання і відображаються на субрахунку N ___ станом на ___ ___________ 20__ р. </w:t>
            </w:r>
          </w:p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Інвентаризацію розпочато ___ ___________ 20__ р. </w:t>
            </w:r>
          </w:p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Інвентаризацію закінчено ___ ___________ 20__ р. </w:t>
            </w:r>
          </w:p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 час проведення інвентаризації встановлено таке: </w:t>
            </w:r>
          </w:p>
        </w:tc>
      </w:tr>
    </w:tbl>
    <w:p w:rsidR="00915AC7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55"/>
        <w:gridCol w:w="1468"/>
        <w:gridCol w:w="2680"/>
        <w:gridCol w:w="911"/>
        <w:gridCol w:w="784"/>
        <w:gridCol w:w="1029"/>
        <w:gridCol w:w="1111"/>
        <w:gridCol w:w="2057"/>
        <w:gridCol w:w="1111"/>
        <w:gridCol w:w="2057"/>
        <w:gridCol w:w="1185"/>
      </w:tblGrid>
      <w:tr w:rsidR="00915AC7" w:rsidRPr="00AB5E2D" w:rsidTr="00C861F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Порядковий номер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нування об'єкта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Рік випуску / дата введення в експ-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луатацію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Номер об'єкта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Станом на ___ ___________ 20__ 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Примітка </w:t>
            </w:r>
          </w:p>
        </w:tc>
      </w:tr>
      <w:tr w:rsidR="00915AC7" w:rsidRPr="00AB5E2D" w:rsidTr="00C861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інвен-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тарний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завод-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ський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паспорт-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ний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фактично виявлено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даними бухгалтерського обліку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</w:tr>
      <w:tr w:rsidR="00915AC7" w:rsidRPr="00AB5E2D" w:rsidTr="00C861F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первісна (перео-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цінена) вартість, гривень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первісна (перео-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цінена) вартість, гривень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915AC7" w:rsidRPr="00AB5E2D" w:rsidTr="00C861F2">
        <w:trPr>
          <w:tblCellSpacing w:w="22" w:type="dxa"/>
          <w:jc w:val="center"/>
        </w:trPr>
        <w:tc>
          <w:tcPr>
            <w:tcW w:w="0" w:type="auto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Усього 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Усього за актом: ______________________________________________________________________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         (цифрами і словами)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1) загальна кількість об'єктів (фактично) __________________________________________________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                                  (цифрами і словами)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2) на суму, гривень (фактично) __________________________________________________________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                            (цифрами і словами) </w:t>
            </w: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36"/>
        <w:gridCol w:w="2614"/>
        <w:gridCol w:w="2614"/>
        <w:gridCol w:w="2636"/>
      </w:tblGrid>
      <w:tr w:rsidR="00915AC7" w:rsidRPr="00AB5E2D" w:rsidTr="00C861F2">
        <w:trPr>
          <w:tblCellSpacing w:w="22" w:type="dxa"/>
          <w:jc w:val="center"/>
        </w:trPr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Голова комісії: 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(посада)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(ініціали та прізвище) </w:t>
            </w:r>
          </w:p>
        </w:tc>
      </w:tr>
      <w:tr w:rsidR="00915AC7" w:rsidRPr="00AB5E2D" w:rsidTr="00C861F2">
        <w:trPr>
          <w:tblCellSpacing w:w="22" w:type="dxa"/>
          <w:jc w:val="center"/>
        </w:trPr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Члени комісії: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 </w:t>
            </w:r>
          </w:p>
        </w:tc>
      </w:tr>
      <w:tr w:rsidR="00915AC7" w:rsidRPr="00AB5E2D" w:rsidTr="00C861F2">
        <w:trPr>
          <w:tblCellSpacing w:w="22" w:type="dxa"/>
          <w:jc w:val="center"/>
        </w:trPr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 </w:t>
            </w:r>
          </w:p>
        </w:tc>
      </w:tr>
      <w:tr w:rsidR="00915AC7" w:rsidRPr="00AB5E2D" w:rsidTr="00C861F2">
        <w:trPr>
          <w:tblCellSpacing w:w="22" w:type="dxa"/>
          <w:jc w:val="center"/>
        </w:trPr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250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 </w:t>
            </w: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p w:rsidR="00915AC7" w:rsidRPr="00AB5E2D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15AC7" w:rsidRPr="00915AC7" w:rsidRDefault="00915AC7" w:rsidP="00915A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</w:t>
      </w:r>
    </w:p>
    <w:p w:rsidR="00915AC7" w:rsidRPr="00915AC7" w:rsidRDefault="00915AC7" w:rsidP="00915A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15A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915A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Секретар міської ради                                                                  М. Гоцуляк</w:t>
      </w:r>
    </w:p>
    <w:p w:rsidR="00915AC7" w:rsidRPr="00AB5E2D" w:rsidRDefault="00915AC7" w:rsidP="0091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25"/>
      </w:tblGrid>
      <w:tr w:rsidR="00915AC7" w:rsidRPr="00AB5E2D" w:rsidTr="00C861F2">
        <w:trPr>
          <w:tblCellSpacing w:w="22" w:type="dxa"/>
        </w:trPr>
        <w:tc>
          <w:tcPr>
            <w:tcW w:w="0" w:type="auto"/>
          </w:tcPr>
          <w:p w:rsidR="00915AC7" w:rsidRDefault="00915AC7" w:rsidP="00F96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915AC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lastRenderedPageBreak/>
              <w:t xml:space="preserve">Додаток №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3</w:t>
            </w:r>
          </w:p>
          <w:p w:rsidR="00915AC7" w:rsidRPr="00AB5E2D" w:rsidRDefault="00915AC7" w:rsidP="00F96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15AC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до Порядку </w:t>
            </w: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Cambria" w:eastAsia="Times New Roman" w:hAnsi="Cambria"/>
          <w:b/>
          <w:bCs/>
          <w:vanish/>
          <w:kern w:val="32"/>
          <w:sz w:val="32"/>
          <w:szCs w:val="32"/>
          <w:lang w:val="uk-UA" w:eastAsia="uk-UA"/>
        </w:rPr>
      </w:pPr>
    </w:p>
    <w:tbl>
      <w:tblPr>
        <w:tblpPr w:leftFromText="45" w:rightFromText="45" w:vertAnchor="text" w:horzAnchor="margin" w:tblpXSpec="right" w:tblpY="755"/>
        <w:tblW w:w="178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08"/>
      </w:tblGrid>
      <w:tr w:rsidR="00915AC7" w:rsidRPr="00AB5E2D" w:rsidTr="00C861F2">
        <w:trPr>
          <w:tblCellSpacing w:w="22" w:type="dxa"/>
        </w:trPr>
        <w:tc>
          <w:tcPr>
            <w:tcW w:w="0" w:type="auto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ЗАТВЕРДЖУЮ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(посада керівника суб'єкта господарювання)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 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       (підпис)               (ініціали та прізвище)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 _________________200__ р.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М. П. </w:t>
            </w: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Cambria" w:eastAsia="Times New Roman" w:hAnsi="Cambria"/>
          <w:b/>
          <w:bCs/>
          <w:vanish/>
          <w:kern w:val="32"/>
          <w:sz w:val="32"/>
          <w:szCs w:val="32"/>
          <w:lang w:val="uk-UA" w:eastAsia="uk-UA"/>
        </w:rPr>
      </w:pPr>
    </w:p>
    <w:tbl>
      <w:tblPr>
        <w:tblpPr w:leftFromText="180" w:rightFromText="180" w:vertAnchor="text" w:horzAnchor="page" w:tblpX="1636" w:tblpY="2750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25"/>
      </w:tblGrid>
      <w:tr w:rsidR="00915AC7" w:rsidRPr="00F96152" w:rsidTr="00915AC7">
        <w:trPr>
          <w:tblCellSpacing w:w="22" w:type="dxa"/>
        </w:trPr>
        <w:tc>
          <w:tcPr>
            <w:tcW w:w="0" w:type="auto"/>
          </w:tcPr>
          <w:p w:rsidR="00915AC7" w:rsidRPr="00AB5E2D" w:rsidRDefault="00915AC7" w:rsidP="00915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(найменування суб'єкта господарювання)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(місцезнаходження суб'єкта господарювання)</w:t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_________________________________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  (ідентифікаційний код згідно з ЄДРПОУ) </w:t>
            </w:r>
          </w:p>
        </w:tc>
      </w:tr>
    </w:tbl>
    <w:p w:rsidR="00915AC7" w:rsidRPr="00AB5E2D" w:rsidRDefault="00915AC7" w:rsidP="00915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  <w:r w:rsidRPr="00AB5E2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ЗВІТ</w:t>
      </w:r>
      <w:r w:rsidRPr="00AB5E2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br/>
        <w:t>про списання об'єктів комунальної власності</w:t>
      </w:r>
    </w:p>
    <w:tbl>
      <w:tblPr>
        <w:tblW w:w="15597" w:type="dxa"/>
        <w:tblCellSpacing w:w="22" w:type="dxa"/>
        <w:tblInd w:w="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71"/>
        <w:gridCol w:w="781"/>
        <w:gridCol w:w="1283"/>
        <w:gridCol w:w="834"/>
        <w:gridCol w:w="661"/>
        <w:gridCol w:w="1081"/>
        <w:gridCol w:w="519"/>
        <w:gridCol w:w="851"/>
        <w:gridCol w:w="511"/>
        <w:gridCol w:w="828"/>
        <w:gridCol w:w="511"/>
        <w:gridCol w:w="828"/>
        <w:gridCol w:w="511"/>
        <w:gridCol w:w="828"/>
        <w:gridCol w:w="927"/>
        <w:gridCol w:w="1608"/>
        <w:gridCol w:w="851"/>
        <w:gridCol w:w="1113"/>
      </w:tblGrid>
      <w:tr w:rsidR="00915AC7" w:rsidRPr="00AB5E2D" w:rsidTr="00915AC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Порядковий номер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Найме-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нування об'єкта </w:t>
            </w:r>
          </w:p>
        </w:tc>
        <w:tc>
          <w:tcPr>
            <w:tcW w:w="1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Рік випуску (побудови) / дата введення в експлуатацію </w:t>
            </w:r>
          </w:p>
        </w:tc>
        <w:tc>
          <w:tcPr>
            <w:tcW w:w="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Ін-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вен-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тар-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ний но-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мер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вод-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ський номер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Витрати на списання об'єкта, гривень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Оприбутковано в результаті списання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Отримано коштів в результаті реалізації матеріалів, сировини тощо, гривень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Напрями викорис-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тання коштів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Документи, що підтверд-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жують отримання коштів </w:t>
            </w:r>
          </w:p>
        </w:tc>
      </w:tr>
      <w:tr w:rsidR="00915AC7" w:rsidRPr="00AB5E2D" w:rsidTr="00915AC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придатних вузлів, агрегатів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матеріалів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сировини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основних засобів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загальна вартість, гривень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915AC7" w:rsidRPr="00AB5E2D" w:rsidTr="00915AC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кіль-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кість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вартість, гривень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кіль-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кість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вартість, гривень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кіль-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кість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вартість, гривень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кіль-</w:t>
            </w: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br/>
              <w:t>кість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вартість, гривень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AC7" w:rsidRPr="00AB5E2D" w:rsidRDefault="00915AC7" w:rsidP="00C861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</w:tr>
    </w:tbl>
    <w:p w:rsidR="00915AC7" w:rsidRPr="00AB5E2D" w:rsidRDefault="00915AC7" w:rsidP="009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B5E2D">
        <w:rPr>
          <w:rFonts w:ascii="Times New Roman" w:eastAsia="Times New Roman" w:hAnsi="Times New Roman"/>
          <w:sz w:val="24"/>
          <w:szCs w:val="24"/>
          <w:lang w:val="uk-UA" w:eastAsia="uk-UA"/>
        </w:rPr>
        <w:br w:type="textWrapping" w:clear="all"/>
      </w:r>
    </w:p>
    <w:tbl>
      <w:tblPr>
        <w:tblW w:w="10515" w:type="dxa"/>
        <w:tblCellSpacing w:w="22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6"/>
        <w:gridCol w:w="44"/>
        <w:gridCol w:w="3453"/>
        <w:gridCol w:w="3476"/>
        <w:gridCol w:w="66"/>
      </w:tblGrid>
      <w:tr w:rsidR="00915AC7" w:rsidRPr="00AB5E2D" w:rsidTr="00C861F2">
        <w:trPr>
          <w:gridBefore w:val="1"/>
          <w:tblCellSpacing w:w="22" w:type="dxa"/>
        </w:trPr>
        <w:tc>
          <w:tcPr>
            <w:tcW w:w="0" w:type="auto"/>
            <w:gridSpan w:val="4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Усього</w:t>
            </w:r>
          </w:p>
        </w:tc>
      </w:tr>
      <w:tr w:rsidR="00915AC7" w:rsidRPr="00AB5E2D" w:rsidTr="00C861F2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22" w:type="dxa"/>
          <w:jc w:val="center"/>
        </w:trPr>
        <w:tc>
          <w:tcPr>
            <w:tcW w:w="1636" w:type="pct"/>
            <w:gridSpan w:val="2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Голова комісії: </w:t>
            </w:r>
          </w:p>
        </w:tc>
        <w:tc>
          <w:tcPr>
            <w:tcW w:w="1636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1647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</w:t>
            </w: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AB5E2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(ініціали та прізвище) </w:t>
            </w:r>
          </w:p>
        </w:tc>
      </w:tr>
      <w:tr w:rsidR="00915AC7" w:rsidRPr="00AB5E2D" w:rsidTr="00C861F2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22" w:type="dxa"/>
          <w:jc w:val="center"/>
        </w:trPr>
        <w:tc>
          <w:tcPr>
            <w:tcW w:w="1636" w:type="pct"/>
            <w:gridSpan w:val="2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Члени комісії: </w:t>
            </w:r>
          </w:p>
        </w:tc>
        <w:tc>
          <w:tcPr>
            <w:tcW w:w="1636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647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 </w:t>
            </w:r>
          </w:p>
        </w:tc>
      </w:tr>
      <w:tr w:rsidR="00915AC7" w:rsidRPr="00AB5E2D" w:rsidTr="00C861F2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22" w:type="dxa"/>
          <w:jc w:val="center"/>
        </w:trPr>
        <w:tc>
          <w:tcPr>
            <w:tcW w:w="1636" w:type="pct"/>
            <w:gridSpan w:val="2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1636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 </w:t>
            </w:r>
          </w:p>
        </w:tc>
        <w:tc>
          <w:tcPr>
            <w:tcW w:w="1647" w:type="pct"/>
          </w:tcPr>
          <w:p w:rsidR="00915AC7" w:rsidRPr="00AB5E2D" w:rsidRDefault="00915AC7" w:rsidP="00C8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5E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________________ </w:t>
            </w:r>
          </w:p>
        </w:tc>
      </w:tr>
    </w:tbl>
    <w:p w:rsidR="00915AC7" w:rsidRDefault="00915AC7" w:rsidP="00915AC7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915AC7" w:rsidRDefault="00915AC7" w:rsidP="00915AC7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915AC7" w:rsidRPr="00605C69" w:rsidRDefault="00915AC7" w:rsidP="000B69A9">
      <w:pPr>
        <w:spacing w:before="100" w:beforeAutospacing="1" w:after="100" w:afterAutospacing="1" w:line="240" w:lineRule="auto"/>
        <w:ind w:firstLine="708"/>
        <w:jc w:val="both"/>
        <w:rPr>
          <w:lang w:val="uk-UA"/>
        </w:rPr>
      </w:pPr>
      <w:r w:rsidRPr="00915A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915A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Секретар міської ради                                                                  М. Гоцуляк</w:t>
      </w:r>
    </w:p>
    <w:sectPr w:rsidR="00915AC7" w:rsidRPr="00605C69" w:rsidSect="00915AC7">
      <w:pgSz w:w="16838" w:h="11906" w:orient="landscape"/>
      <w:pgMar w:top="568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7EA"/>
    <w:multiLevelType w:val="multilevel"/>
    <w:tmpl w:val="201A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EFF"/>
    <w:rsid w:val="0001272D"/>
    <w:rsid w:val="00021FE0"/>
    <w:rsid w:val="000B69A9"/>
    <w:rsid w:val="000D493B"/>
    <w:rsid w:val="00204C09"/>
    <w:rsid w:val="002223C3"/>
    <w:rsid w:val="002464B6"/>
    <w:rsid w:val="003725F0"/>
    <w:rsid w:val="00422F77"/>
    <w:rsid w:val="00564464"/>
    <w:rsid w:val="00584133"/>
    <w:rsid w:val="005A3283"/>
    <w:rsid w:val="00605C69"/>
    <w:rsid w:val="0061443A"/>
    <w:rsid w:val="006379DE"/>
    <w:rsid w:val="00650115"/>
    <w:rsid w:val="00676EFF"/>
    <w:rsid w:val="00773648"/>
    <w:rsid w:val="00812036"/>
    <w:rsid w:val="00862DD0"/>
    <w:rsid w:val="00915AC7"/>
    <w:rsid w:val="00B405C1"/>
    <w:rsid w:val="00B729B0"/>
    <w:rsid w:val="00C53056"/>
    <w:rsid w:val="00CA39A1"/>
    <w:rsid w:val="00DE33FE"/>
    <w:rsid w:val="00DE3D42"/>
    <w:rsid w:val="00E4065B"/>
    <w:rsid w:val="00F06A46"/>
    <w:rsid w:val="00F9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272D"/>
    <w:rPr>
      <w:sz w:val="22"/>
      <w:szCs w:val="22"/>
      <w:lang w:val="uk-UA"/>
    </w:rPr>
  </w:style>
  <w:style w:type="paragraph" w:styleId="a5">
    <w:name w:val="caption"/>
    <w:basedOn w:val="a"/>
    <w:next w:val="a"/>
    <w:uiPriority w:val="35"/>
    <w:qFormat/>
    <w:rsid w:val="00422F7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422F77"/>
    <w:rPr>
      <w:sz w:val="22"/>
      <w:szCs w:val="2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2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7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2F77"/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9</cp:revision>
  <cp:lastPrinted>2016-08-04T09:27:00Z</cp:lastPrinted>
  <dcterms:created xsi:type="dcterms:W3CDTF">2016-06-22T12:03:00Z</dcterms:created>
  <dcterms:modified xsi:type="dcterms:W3CDTF">2016-08-04T09:55:00Z</dcterms:modified>
</cp:coreProperties>
</file>